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EA" w:rsidRPr="001B10C2" w:rsidRDefault="009A5BEA" w:rsidP="009F01AE">
      <w:pPr>
        <w:spacing w:before="91"/>
        <w:ind w:left="861"/>
        <w:jc w:val="both"/>
        <w:rPr>
          <w:b/>
          <w:sz w:val="24"/>
          <w:szCs w:val="24"/>
          <w:u w:val="thick"/>
        </w:rPr>
      </w:pPr>
    </w:p>
    <w:p w:rsidR="00FF6904" w:rsidRPr="001B10C2" w:rsidRDefault="00FF6904" w:rsidP="009F01AE">
      <w:pPr>
        <w:pStyle w:val="BodyA"/>
        <w:rPr>
          <w:rFonts w:ascii="Times New Roman" w:hAnsi="Times New Roman" w:cs="Times New Roman"/>
          <w:sz w:val="24"/>
          <w:szCs w:val="24"/>
        </w:rPr>
      </w:pPr>
    </w:p>
    <w:p w:rsidR="00FF6904" w:rsidRPr="001B10C2" w:rsidRDefault="00FF6904" w:rsidP="009F01AE">
      <w:pPr>
        <w:pStyle w:val="BodyA"/>
        <w:rPr>
          <w:rFonts w:ascii="Times New Roman" w:hAnsi="Times New Roman" w:cs="Times New Roman"/>
          <w:sz w:val="24"/>
          <w:szCs w:val="24"/>
        </w:rPr>
      </w:pPr>
    </w:p>
    <w:p w:rsidR="00FF6904" w:rsidRPr="001B10C2" w:rsidRDefault="00FF6904" w:rsidP="009F01AE">
      <w:pPr>
        <w:pStyle w:val="BodyA"/>
        <w:rPr>
          <w:rFonts w:ascii="Times New Roman" w:hAnsi="Times New Roman" w:cs="Times New Roman"/>
          <w:sz w:val="24"/>
          <w:szCs w:val="24"/>
        </w:rPr>
      </w:pPr>
    </w:p>
    <w:p w:rsidR="00FF6904" w:rsidRPr="001B10C2" w:rsidRDefault="00FF6904" w:rsidP="009F01AE">
      <w:pPr>
        <w:pStyle w:val="BodyA"/>
        <w:rPr>
          <w:rFonts w:ascii="Times New Roman" w:hAnsi="Times New Roman" w:cs="Times New Roman"/>
          <w:sz w:val="24"/>
          <w:szCs w:val="24"/>
        </w:rPr>
      </w:pPr>
    </w:p>
    <w:p w:rsidR="00FF6904" w:rsidRPr="001B10C2" w:rsidRDefault="00FF6904" w:rsidP="009F01AE">
      <w:pPr>
        <w:pStyle w:val="BodyA"/>
        <w:rPr>
          <w:rFonts w:ascii="Times New Roman" w:hAnsi="Times New Roman" w:cs="Times New Roman"/>
          <w:sz w:val="24"/>
          <w:szCs w:val="24"/>
        </w:rPr>
      </w:pPr>
    </w:p>
    <w:p w:rsidR="00FF6904" w:rsidRPr="001B10C2" w:rsidRDefault="00FF6904" w:rsidP="009F01AE">
      <w:pPr>
        <w:pStyle w:val="BodyA"/>
        <w:rPr>
          <w:rFonts w:ascii="Times New Roman" w:hAnsi="Times New Roman" w:cs="Times New Roman"/>
          <w:sz w:val="24"/>
          <w:szCs w:val="24"/>
        </w:rPr>
      </w:pPr>
    </w:p>
    <w:p w:rsidR="00FF6904" w:rsidRPr="001B10C2" w:rsidRDefault="00FF6904" w:rsidP="009F01AE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10C2">
        <w:rPr>
          <w:rFonts w:ascii="Times New Roman" w:hAnsi="Times New Roman" w:cs="Times New Roman"/>
          <w:sz w:val="24"/>
          <w:szCs w:val="24"/>
        </w:rPr>
        <w:tab/>
        <w:t xml:space="preserve">      1</w:t>
      </w:r>
      <w:r w:rsidR="00A41641">
        <w:rPr>
          <w:rFonts w:ascii="Times New Roman" w:hAnsi="Times New Roman" w:cs="Times New Roman"/>
          <w:sz w:val="24"/>
          <w:szCs w:val="24"/>
        </w:rPr>
        <w:t>2</w:t>
      </w:r>
      <w:r w:rsidRPr="001B10C2">
        <w:rPr>
          <w:rFonts w:ascii="Times New Roman" w:hAnsi="Times New Roman" w:cs="Times New Roman"/>
          <w:sz w:val="24"/>
          <w:szCs w:val="24"/>
        </w:rPr>
        <w:t xml:space="preserve"> FY 19/20</w:t>
      </w:r>
    </w:p>
    <w:p w:rsidR="00FF6904" w:rsidRPr="001B10C2" w:rsidRDefault="00FF6904" w:rsidP="009F01AE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</w:r>
      <w:r w:rsidRPr="001B10C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8362A" w:rsidRPr="001B10C2">
        <w:rPr>
          <w:rFonts w:ascii="Times New Roman" w:hAnsi="Times New Roman" w:cs="Times New Roman"/>
          <w:sz w:val="24"/>
          <w:szCs w:val="24"/>
        </w:rPr>
        <w:t xml:space="preserve">October </w:t>
      </w:r>
      <w:r w:rsidR="00A41641">
        <w:rPr>
          <w:rFonts w:ascii="Times New Roman" w:hAnsi="Times New Roman" w:cs="Times New Roman"/>
          <w:sz w:val="24"/>
          <w:szCs w:val="24"/>
        </w:rPr>
        <w:t>24</w:t>
      </w:r>
      <w:r w:rsidRPr="001B10C2">
        <w:rPr>
          <w:rFonts w:ascii="Times New Roman" w:hAnsi="Times New Roman" w:cs="Times New Roman"/>
          <w:sz w:val="24"/>
          <w:szCs w:val="24"/>
        </w:rPr>
        <w:t>, 2019</w:t>
      </w:r>
    </w:p>
    <w:p w:rsidR="00FF6904" w:rsidRPr="001B10C2" w:rsidRDefault="00FF6904" w:rsidP="009F01AE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81C" w:rsidRPr="001B10C2" w:rsidRDefault="00FF6904" w:rsidP="009F01AE">
      <w:pPr>
        <w:spacing w:before="91"/>
        <w:ind w:left="861"/>
        <w:jc w:val="both"/>
        <w:rPr>
          <w:b/>
          <w:sz w:val="24"/>
          <w:szCs w:val="24"/>
        </w:rPr>
      </w:pPr>
      <w:r w:rsidRPr="001B10C2">
        <w:rPr>
          <w:b/>
          <w:bCs/>
          <w:sz w:val="24"/>
          <w:szCs w:val="24"/>
        </w:rPr>
        <w:t>AN ORDER</w:t>
      </w:r>
      <w:r w:rsidR="00B7781C" w:rsidRPr="001B10C2">
        <w:rPr>
          <w:b/>
          <w:bCs/>
          <w:sz w:val="24"/>
          <w:szCs w:val="24"/>
        </w:rPr>
        <w:t xml:space="preserve"> </w:t>
      </w:r>
      <w:r w:rsidR="00B7781C" w:rsidRPr="001B10C2">
        <w:rPr>
          <w:b/>
          <w:sz w:val="24"/>
          <w:szCs w:val="24"/>
        </w:rPr>
        <w:t>CREATING THE MAINE COMPLETE COUNT COMMITTEE</w:t>
      </w:r>
    </w:p>
    <w:p w:rsidR="00FF6904" w:rsidRPr="001B10C2" w:rsidRDefault="00FF6904" w:rsidP="00BA63B7">
      <w:pPr>
        <w:pStyle w:val="NoSpacing"/>
        <w:rPr>
          <w:sz w:val="24"/>
          <w:szCs w:val="24"/>
        </w:rPr>
      </w:pPr>
    </w:p>
    <w:p w:rsidR="00A97106" w:rsidRPr="001B10C2" w:rsidRDefault="00FF6904" w:rsidP="009F01AE">
      <w:pPr>
        <w:spacing w:before="91"/>
        <w:jc w:val="both"/>
        <w:rPr>
          <w:w w:val="105"/>
          <w:sz w:val="24"/>
          <w:szCs w:val="24"/>
        </w:rPr>
      </w:pPr>
      <w:r w:rsidRPr="001B10C2">
        <w:rPr>
          <w:b/>
          <w:bCs/>
          <w:sz w:val="24"/>
          <w:szCs w:val="24"/>
        </w:rPr>
        <w:t>WHEREAS,</w:t>
      </w:r>
      <w:r w:rsidR="00B7781C" w:rsidRPr="001B10C2">
        <w:rPr>
          <w:b/>
          <w:bCs/>
          <w:sz w:val="24"/>
          <w:szCs w:val="24"/>
        </w:rPr>
        <w:t xml:space="preserve"> </w:t>
      </w:r>
      <w:r w:rsidR="00C46BEE" w:rsidRPr="001B10C2">
        <w:rPr>
          <w:w w:val="105"/>
          <w:sz w:val="24"/>
          <w:szCs w:val="24"/>
        </w:rPr>
        <w:t>Article I, Section 2 of the United State</w:t>
      </w:r>
      <w:r w:rsidR="00A57C60">
        <w:rPr>
          <w:w w:val="105"/>
          <w:sz w:val="24"/>
          <w:szCs w:val="24"/>
        </w:rPr>
        <w:t>s</w:t>
      </w:r>
      <w:r w:rsidR="00C46BEE" w:rsidRPr="001B10C2">
        <w:rPr>
          <w:w w:val="105"/>
          <w:sz w:val="24"/>
          <w:szCs w:val="24"/>
        </w:rPr>
        <w:t xml:space="preserve"> Constitution requires an enumeration of the population every ten years to apportion congressional representation among the states; and</w:t>
      </w:r>
    </w:p>
    <w:p w:rsidR="00AD5170" w:rsidRPr="001B10C2" w:rsidRDefault="00AD5170" w:rsidP="00AD5170">
      <w:pPr>
        <w:pStyle w:val="NoSpacing"/>
        <w:rPr>
          <w:sz w:val="24"/>
          <w:szCs w:val="24"/>
        </w:rPr>
      </w:pPr>
    </w:p>
    <w:p w:rsidR="00A97106" w:rsidRPr="001B10C2" w:rsidRDefault="00C46BEE" w:rsidP="009F01AE">
      <w:pPr>
        <w:spacing w:before="91"/>
        <w:jc w:val="both"/>
        <w:rPr>
          <w:sz w:val="24"/>
          <w:szCs w:val="24"/>
        </w:rPr>
      </w:pPr>
      <w:r w:rsidRPr="001B10C2">
        <w:rPr>
          <w:b/>
          <w:sz w:val="24"/>
          <w:szCs w:val="24"/>
        </w:rPr>
        <w:t>WHEREAS</w:t>
      </w:r>
      <w:r w:rsidRPr="001B10C2">
        <w:rPr>
          <w:sz w:val="24"/>
          <w:szCs w:val="24"/>
        </w:rPr>
        <w:t>, Section 141 of Title 13 of the United States Code</w:t>
      </w:r>
      <w:r w:rsidR="00EE2762" w:rsidRPr="001B10C2">
        <w:rPr>
          <w:sz w:val="24"/>
          <w:szCs w:val="24"/>
        </w:rPr>
        <w:t xml:space="preserve"> requires that </w:t>
      </w:r>
      <w:r w:rsidRPr="001B10C2">
        <w:rPr>
          <w:sz w:val="24"/>
          <w:szCs w:val="24"/>
        </w:rPr>
        <w:t xml:space="preserve">the next federal decennial census of the population </w:t>
      </w:r>
      <w:r w:rsidR="00EE2762" w:rsidRPr="001B10C2">
        <w:rPr>
          <w:sz w:val="24"/>
          <w:szCs w:val="24"/>
        </w:rPr>
        <w:t xml:space="preserve">occur </w:t>
      </w:r>
      <w:r w:rsidRPr="001B10C2">
        <w:rPr>
          <w:sz w:val="24"/>
          <w:szCs w:val="24"/>
        </w:rPr>
        <w:t>on April 1, 2020</w:t>
      </w:r>
      <w:r w:rsidR="00EE2762" w:rsidRPr="001B10C2">
        <w:rPr>
          <w:sz w:val="24"/>
          <w:szCs w:val="24"/>
        </w:rPr>
        <w:t xml:space="preserve"> (2020 Census)</w:t>
      </w:r>
      <w:r w:rsidRPr="001B10C2">
        <w:rPr>
          <w:sz w:val="24"/>
          <w:szCs w:val="24"/>
        </w:rPr>
        <w:t>; and</w:t>
      </w:r>
    </w:p>
    <w:p w:rsidR="00AD5170" w:rsidRPr="001B10C2" w:rsidRDefault="00AD5170" w:rsidP="00AD5170">
      <w:pPr>
        <w:pStyle w:val="NoSpacing"/>
        <w:rPr>
          <w:w w:val="105"/>
          <w:sz w:val="24"/>
          <w:szCs w:val="24"/>
        </w:rPr>
      </w:pPr>
    </w:p>
    <w:p w:rsidR="00A97106" w:rsidRPr="001B10C2" w:rsidRDefault="00C46BEE" w:rsidP="009F01AE">
      <w:pPr>
        <w:spacing w:before="91"/>
        <w:jc w:val="both"/>
        <w:rPr>
          <w:w w:val="105"/>
          <w:sz w:val="24"/>
          <w:szCs w:val="24"/>
        </w:rPr>
      </w:pPr>
      <w:r w:rsidRPr="001B10C2">
        <w:rPr>
          <w:b/>
          <w:w w:val="105"/>
          <w:sz w:val="24"/>
          <w:szCs w:val="24"/>
        </w:rPr>
        <w:t>WHEREAS</w:t>
      </w:r>
      <w:r w:rsidRPr="001B10C2">
        <w:rPr>
          <w:w w:val="105"/>
          <w:sz w:val="24"/>
          <w:szCs w:val="24"/>
        </w:rPr>
        <w:t>, the 2020 Census will be used for Congressional reapportionment</w:t>
      </w:r>
      <w:r w:rsidR="00666409" w:rsidRPr="001B10C2">
        <w:rPr>
          <w:w w:val="105"/>
          <w:sz w:val="24"/>
          <w:szCs w:val="24"/>
        </w:rPr>
        <w:t xml:space="preserve"> </w:t>
      </w:r>
      <w:r w:rsidR="00710590" w:rsidRPr="001B10C2">
        <w:rPr>
          <w:w w:val="105"/>
          <w:sz w:val="24"/>
          <w:szCs w:val="24"/>
        </w:rPr>
        <w:t>and r</w:t>
      </w:r>
      <w:r w:rsidRPr="001B10C2">
        <w:rPr>
          <w:w w:val="105"/>
          <w:sz w:val="24"/>
          <w:szCs w:val="24"/>
        </w:rPr>
        <w:t xml:space="preserve">edistricting, and for legislative redistricting, </w:t>
      </w:r>
      <w:r w:rsidR="00710590" w:rsidRPr="001B10C2">
        <w:rPr>
          <w:w w:val="105"/>
          <w:sz w:val="24"/>
          <w:szCs w:val="24"/>
        </w:rPr>
        <w:t xml:space="preserve">so </w:t>
      </w:r>
      <w:r w:rsidRPr="001B10C2">
        <w:rPr>
          <w:w w:val="105"/>
          <w:sz w:val="24"/>
          <w:szCs w:val="24"/>
        </w:rPr>
        <w:t xml:space="preserve">having a complete and accurate count of </w:t>
      </w:r>
      <w:r w:rsidR="00F8362A" w:rsidRPr="001B10C2">
        <w:rPr>
          <w:w w:val="105"/>
          <w:sz w:val="24"/>
          <w:szCs w:val="24"/>
        </w:rPr>
        <w:t>Maine</w:t>
      </w:r>
      <w:r w:rsidRPr="001B10C2">
        <w:rPr>
          <w:w w:val="105"/>
          <w:sz w:val="24"/>
          <w:szCs w:val="24"/>
        </w:rPr>
        <w:t xml:space="preserve">'s population is essential for the fair representation of </w:t>
      </w:r>
      <w:r w:rsidR="00CB67C5" w:rsidRPr="001B10C2">
        <w:rPr>
          <w:w w:val="105"/>
          <w:sz w:val="24"/>
          <w:szCs w:val="24"/>
        </w:rPr>
        <w:t>our</w:t>
      </w:r>
      <w:r w:rsidRPr="001B10C2">
        <w:rPr>
          <w:w w:val="105"/>
          <w:sz w:val="24"/>
          <w:szCs w:val="24"/>
        </w:rPr>
        <w:t xml:space="preserve"> citizenry in the U.S. Congress, </w:t>
      </w:r>
      <w:r w:rsidR="00173816" w:rsidRPr="001B10C2">
        <w:rPr>
          <w:w w:val="105"/>
          <w:sz w:val="24"/>
          <w:szCs w:val="24"/>
        </w:rPr>
        <w:t xml:space="preserve">Maine </w:t>
      </w:r>
      <w:r w:rsidR="00BB390C" w:rsidRPr="001B10C2">
        <w:rPr>
          <w:w w:val="105"/>
          <w:sz w:val="24"/>
          <w:szCs w:val="24"/>
        </w:rPr>
        <w:t>Legislature</w:t>
      </w:r>
      <w:r w:rsidRPr="001B10C2">
        <w:rPr>
          <w:w w:val="105"/>
          <w:sz w:val="24"/>
          <w:szCs w:val="24"/>
        </w:rPr>
        <w:t xml:space="preserve"> and legislative bodies of local government;</w:t>
      </w:r>
      <w:r w:rsidRPr="001B10C2">
        <w:rPr>
          <w:spacing w:val="20"/>
          <w:w w:val="105"/>
          <w:sz w:val="24"/>
          <w:szCs w:val="24"/>
        </w:rPr>
        <w:t xml:space="preserve"> </w:t>
      </w:r>
      <w:r w:rsidRPr="001B10C2">
        <w:rPr>
          <w:w w:val="105"/>
          <w:sz w:val="24"/>
          <w:szCs w:val="24"/>
        </w:rPr>
        <w:t>and</w:t>
      </w:r>
      <w:r w:rsidR="00A97106" w:rsidRPr="001B10C2">
        <w:rPr>
          <w:w w:val="105"/>
          <w:sz w:val="24"/>
          <w:szCs w:val="24"/>
        </w:rPr>
        <w:t xml:space="preserve"> </w:t>
      </w:r>
    </w:p>
    <w:p w:rsidR="00AD5170" w:rsidRPr="001B10C2" w:rsidRDefault="00AD5170" w:rsidP="00AD5170">
      <w:pPr>
        <w:pStyle w:val="NoSpacing"/>
        <w:rPr>
          <w:w w:val="105"/>
          <w:sz w:val="24"/>
          <w:szCs w:val="24"/>
        </w:rPr>
      </w:pPr>
    </w:p>
    <w:p w:rsidR="00A97106" w:rsidRPr="001B10C2" w:rsidRDefault="00A97106" w:rsidP="009F01AE">
      <w:pPr>
        <w:spacing w:before="91"/>
        <w:jc w:val="both"/>
        <w:rPr>
          <w:w w:val="105"/>
          <w:sz w:val="24"/>
          <w:szCs w:val="24"/>
        </w:rPr>
      </w:pPr>
      <w:r w:rsidRPr="001B10C2">
        <w:rPr>
          <w:b/>
          <w:w w:val="105"/>
          <w:sz w:val="24"/>
          <w:szCs w:val="24"/>
        </w:rPr>
        <w:t>W</w:t>
      </w:r>
      <w:r w:rsidR="00C46BEE" w:rsidRPr="001B10C2">
        <w:rPr>
          <w:b/>
          <w:w w:val="105"/>
          <w:sz w:val="24"/>
          <w:szCs w:val="24"/>
        </w:rPr>
        <w:t>HEREAS</w:t>
      </w:r>
      <w:r w:rsidR="00C46BEE" w:rsidRPr="001B10C2">
        <w:rPr>
          <w:w w:val="105"/>
          <w:sz w:val="24"/>
          <w:szCs w:val="24"/>
        </w:rPr>
        <w:t xml:space="preserve">, the </w:t>
      </w:r>
      <w:r w:rsidR="00AE4018" w:rsidRPr="001B10C2">
        <w:rPr>
          <w:w w:val="105"/>
          <w:sz w:val="24"/>
          <w:szCs w:val="24"/>
        </w:rPr>
        <w:t xml:space="preserve">2020 Census </w:t>
      </w:r>
      <w:r w:rsidR="00483570" w:rsidRPr="001B10C2">
        <w:rPr>
          <w:w w:val="105"/>
          <w:sz w:val="24"/>
          <w:szCs w:val="24"/>
        </w:rPr>
        <w:t xml:space="preserve">will also be used </w:t>
      </w:r>
      <w:r w:rsidR="00B20F29" w:rsidRPr="001B10C2">
        <w:rPr>
          <w:w w:val="105"/>
          <w:sz w:val="24"/>
          <w:szCs w:val="24"/>
        </w:rPr>
        <w:t xml:space="preserve">in </w:t>
      </w:r>
      <w:r w:rsidR="00C46BEE" w:rsidRPr="001B10C2">
        <w:rPr>
          <w:w w:val="105"/>
          <w:sz w:val="24"/>
          <w:szCs w:val="24"/>
        </w:rPr>
        <w:t>many important decisions made by federal and state government</w:t>
      </w:r>
      <w:r w:rsidR="00481ADA" w:rsidRPr="001B10C2">
        <w:rPr>
          <w:w w:val="105"/>
          <w:sz w:val="24"/>
          <w:szCs w:val="24"/>
        </w:rPr>
        <w:t>s</w:t>
      </w:r>
      <w:r w:rsidR="00C46BEE" w:rsidRPr="001B10C2">
        <w:rPr>
          <w:w w:val="105"/>
          <w:sz w:val="24"/>
          <w:szCs w:val="24"/>
        </w:rPr>
        <w:t>, including the disbursement of billions of dollars of federal funds to states based on population; and</w:t>
      </w:r>
      <w:r w:rsidRPr="001B10C2">
        <w:rPr>
          <w:w w:val="105"/>
          <w:sz w:val="24"/>
          <w:szCs w:val="24"/>
        </w:rPr>
        <w:t xml:space="preserve"> </w:t>
      </w:r>
    </w:p>
    <w:p w:rsidR="00AD5170" w:rsidRPr="001B10C2" w:rsidRDefault="00AD5170" w:rsidP="00AD5170">
      <w:pPr>
        <w:pStyle w:val="NoSpacing"/>
        <w:rPr>
          <w:w w:val="105"/>
          <w:sz w:val="24"/>
          <w:szCs w:val="24"/>
        </w:rPr>
      </w:pPr>
    </w:p>
    <w:p w:rsidR="00A97106" w:rsidRPr="001B10C2" w:rsidRDefault="00B748FA" w:rsidP="009F01AE">
      <w:pPr>
        <w:spacing w:before="91"/>
        <w:jc w:val="both"/>
        <w:rPr>
          <w:w w:val="105"/>
          <w:sz w:val="24"/>
          <w:szCs w:val="24"/>
        </w:rPr>
      </w:pPr>
      <w:r w:rsidRPr="001B10C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4A102A2" wp14:editId="12EE1031">
                <wp:simplePos x="0" y="0"/>
                <wp:positionH relativeFrom="page">
                  <wp:posOffset>7769225</wp:posOffset>
                </wp:positionH>
                <wp:positionV relativeFrom="page">
                  <wp:posOffset>9911715</wp:posOffset>
                </wp:positionV>
                <wp:extent cx="0" cy="0"/>
                <wp:effectExtent l="6350" t="567690" r="12700" b="5746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428D" id="Line 10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75pt,780.45pt" to="611.75pt,7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" strokeweight=".08481mm">
                <w10:wrap anchorx="page" anchory="page"/>
              </v:line>
            </w:pict>
          </mc:Fallback>
        </mc:AlternateContent>
      </w:r>
      <w:r w:rsidR="00C46BEE" w:rsidRPr="001B10C2">
        <w:rPr>
          <w:b/>
          <w:w w:val="105"/>
          <w:sz w:val="24"/>
          <w:szCs w:val="24"/>
        </w:rPr>
        <w:t>WHEREAS</w:t>
      </w:r>
      <w:r w:rsidR="00C46BEE" w:rsidRPr="001B10C2">
        <w:rPr>
          <w:w w:val="105"/>
          <w:sz w:val="24"/>
          <w:szCs w:val="24"/>
        </w:rPr>
        <w:t xml:space="preserve">, </w:t>
      </w:r>
      <w:r w:rsidR="00F8362A" w:rsidRPr="001B10C2">
        <w:rPr>
          <w:w w:val="105"/>
          <w:sz w:val="24"/>
          <w:szCs w:val="24"/>
        </w:rPr>
        <w:t>Maine</w:t>
      </w:r>
      <w:r w:rsidR="00C46BEE" w:rsidRPr="001B10C2">
        <w:rPr>
          <w:w w:val="105"/>
          <w:sz w:val="24"/>
          <w:szCs w:val="24"/>
        </w:rPr>
        <w:t xml:space="preserve"> and its local </w:t>
      </w:r>
      <w:r w:rsidR="00481ADA" w:rsidRPr="001B10C2">
        <w:rPr>
          <w:w w:val="105"/>
          <w:sz w:val="24"/>
          <w:szCs w:val="24"/>
        </w:rPr>
        <w:t xml:space="preserve">governments </w:t>
      </w:r>
      <w:r w:rsidR="00A9482F" w:rsidRPr="001B10C2">
        <w:rPr>
          <w:w w:val="105"/>
          <w:sz w:val="24"/>
          <w:szCs w:val="24"/>
        </w:rPr>
        <w:t>will also use</w:t>
      </w:r>
      <w:r w:rsidR="00C46BEE" w:rsidRPr="001B10C2">
        <w:rPr>
          <w:w w:val="105"/>
          <w:sz w:val="24"/>
          <w:szCs w:val="24"/>
        </w:rPr>
        <w:t xml:space="preserve"> </w:t>
      </w:r>
      <w:r w:rsidR="0015217A" w:rsidRPr="001B10C2">
        <w:rPr>
          <w:w w:val="105"/>
          <w:sz w:val="24"/>
          <w:szCs w:val="24"/>
        </w:rPr>
        <w:t>census data</w:t>
      </w:r>
      <w:r w:rsidR="00A9482F" w:rsidRPr="001B10C2">
        <w:rPr>
          <w:w w:val="105"/>
          <w:sz w:val="24"/>
          <w:szCs w:val="24"/>
        </w:rPr>
        <w:t xml:space="preserve"> </w:t>
      </w:r>
      <w:r w:rsidR="00C46BEE" w:rsidRPr="001B10C2">
        <w:rPr>
          <w:w w:val="105"/>
          <w:sz w:val="24"/>
          <w:szCs w:val="24"/>
        </w:rPr>
        <w:t xml:space="preserve">to </w:t>
      </w:r>
      <w:r w:rsidR="001522B0" w:rsidRPr="001B10C2">
        <w:rPr>
          <w:w w:val="105"/>
          <w:sz w:val="24"/>
          <w:szCs w:val="24"/>
        </w:rPr>
        <w:t xml:space="preserve">assess </w:t>
      </w:r>
      <w:r w:rsidR="00C46BEE" w:rsidRPr="001B10C2">
        <w:rPr>
          <w:w w:val="105"/>
          <w:sz w:val="24"/>
          <w:szCs w:val="24"/>
        </w:rPr>
        <w:t xml:space="preserve">the social and economic characteristics of </w:t>
      </w:r>
      <w:r w:rsidR="00886654" w:rsidRPr="001B10C2">
        <w:rPr>
          <w:w w:val="105"/>
          <w:sz w:val="24"/>
          <w:szCs w:val="24"/>
        </w:rPr>
        <w:t xml:space="preserve">certain regions and </w:t>
      </w:r>
      <w:r w:rsidR="00C46BEE" w:rsidRPr="001B10C2">
        <w:rPr>
          <w:w w:val="105"/>
          <w:sz w:val="24"/>
          <w:szCs w:val="24"/>
        </w:rPr>
        <w:t>population</w:t>
      </w:r>
      <w:r w:rsidR="00886654" w:rsidRPr="001B10C2">
        <w:rPr>
          <w:w w:val="105"/>
          <w:sz w:val="24"/>
          <w:szCs w:val="24"/>
        </w:rPr>
        <w:t>s</w:t>
      </w:r>
      <w:r w:rsidR="001522B0" w:rsidRPr="001B10C2">
        <w:rPr>
          <w:w w:val="105"/>
          <w:sz w:val="24"/>
          <w:szCs w:val="24"/>
        </w:rPr>
        <w:t>, and t</w:t>
      </w:r>
      <w:r w:rsidR="00C46BEE" w:rsidRPr="001B10C2">
        <w:rPr>
          <w:w w:val="105"/>
          <w:sz w:val="24"/>
          <w:szCs w:val="24"/>
        </w:rPr>
        <w:t xml:space="preserve">o determine </w:t>
      </w:r>
      <w:r w:rsidR="001522B0" w:rsidRPr="001B10C2">
        <w:rPr>
          <w:w w:val="105"/>
          <w:sz w:val="24"/>
          <w:szCs w:val="24"/>
        </w:rPr>
        <w:t xml:space="preserve">the </w:t>
      </w:r>
      <w:r w:rsidR="00C46BEE" w:rsidRPr="001B10C2">
        <w:rPr>
          <w:w w:val="105"/>
          <w:sz w:val="24"/>
          <w:szCs w:val="24"/>
        </w:rPr>
        <w:t xml:space="preserve">funding for infrastructure projects, economic development programs, </w:t>
      </w:r>
      <w:r w:rsidR="008B4C61" w:rsidRPr="001B10C2">
        <w:rPr>
          <w:w w:val="105"/>
          <w:sz w:val="24"/>
          <w:szCs w:val="24"/>
        </w:rPr>
        <w:t xml:space="preserve">education and </w:t>
      </w:r>
      <w:r w:rsidR="00C46BEE" w:rsidRPr="001B10C2">
        <w:rPr>
          <w:w w:val="105"/>
          <w:sz w:val="24"/>
          <w:szCs w:val="24"/>
        </w:rPr>
        <w:t xml:space="preserve">training, and other </w:t>
      </w:r>
      <w:r w:rsidR="008B4C61" w:rsidRPr="001B10C2">
        <w:rPr>
          <w:w w:val="105"/>
          <w:sz w:val="24"/>
          <w:szCs w:val="24"/>
        </w:rPr>
        <w:t xml:space="preserve">services </w:t>
      </w:r>
      <w:r w:rsidR="007219CB" w:rsidRPr="001B10C2">
        <w:rPr>
          <w:w w:val="105"/>
          <w:sz w:val="24"/>
          <w:szCs w:val="24"/>
        </w:rPr>
        <w:t xml:space="preserve">for </w:t>
      </w:r>
      <w:r w:rsidR="00D34B05" w:rsidRPr="001B10C2">
        <w:rPr>
          <w:w w:val="105"/>
          <w:sz w:val="24"/>
          <w:szCs w:val="24"/>
        </w:rPr>
        <w:t xml:space="preserve">those </w:t>
      </w:r>
      <w:r w:rsidR="007219CB" w:rsidRPr="001B10C2">
        <w:rPr>
          <w:w w:val="105"/>
          <w:sz w:val="24"/>
          <w:szCs w:val="24"/>
        </w:rPr>
        <w:t>regions and populations</w:t>
      </w:r>
      <w:r w:rsidR="00C46BEE" w:rsidRPr="001B10C2">
        <w:rPr>
          <w:w w:val="105"/>
          <w:sz w:val="24"/>
          <w:szCs w:val="24"/>
        </w:rPr>
        <w:t>; and</w:t>
      </w:r>
    </w:p>
    <w:p w:rsidR="00AD5170" w:rsidRPr="001B10C2" w:rsidRDefault="00AD5170" w:rsidP="00AD5170">
      <w:pPr>
        <w:pStyle w:val="NoSpacing"/>
        <w:rPr>
          <w:w w:val="105"/>
          <w:sz w:val="24"/>
          <w:szCs w:val="24"/>
        </w:rPr>
      </w:pPr>
    </w:p>
    <w:p w:rsidR="004B39EC" w:rsidRPr="001B10C2" w:rsidRDefault="00C46BEE" w:rsidP="009F01AE">
      <w:pPr>
        <w:spacing w:before="91"/>
        <w:jc w:val="both"/>
        <w:rPr>
          <w:sz w:val="24"/>
          <w:szCs w:val="24"/>
        </w:rPr>
      </w:pPr>
      <w:r w:rsidRPr="001B10C2">
        <w:rPr>
          <w:b/>
          <w:w w:val="105"/>
          <w:sz w:val="24"/>
          <w:szCs w:val="24"/>
        </w:rPr>
        <w:t>WHEREAS</w:t>
      </w:r>
      <w:r w:rsidRPr="001B10C2">
        <w:rPr>
          <w:w w:val="105"/>
          <w:sz w:val="24"/>
          <w:szCs w:val="24"/>
        </w:rPr>
        <w:t xml:space="preserve">, </w:t>
      </w:r>
      <w:r w:rsidR="00276139" w:rsidRPr="001B10C2">
        <w:rPr>
          <w:w w:val="105"/>
          <w:sz w:val="24"/>
          <w:szCs w:val="24"/>
        </w:rPr>
        <w:t xml:space="preserve">the United States Bureau of the Census recommends that each state create a Complete Count Committee to </w:t>
      </w:r>
      <w:r w:rsidRPr="001B10C2">
        <w:rPr>
          <w:w w:val="105"/>
          <w:sz w:val="24"/>
          <w:szCs w:val="24"/>
        </w:rPr>
        <w:t xml:space="preserve">ensure that every </w:t>
      </w:r>
      <w:r w:rsidR="005F7A09" w:rsidRPr="001B10C2">
        <w:rPr>
          <w:w w:val="105"/>
          <w:sz w:val="24"/>
          <w:szCs w:val="24"/>
        </w:rPr>
        <w:t>member of the po</w:t>
      </w:r>
      <w:r w:rsidR="00E62987" w:rsidRPr="001B10C2">
        <w:rPr>
          <w:w w:val="105"/>
          <w:sz w:val="24"/>
          <w:szCs w:val="24"/>
        </w:rPr>
        <w:t xml:space="preserve">pulation </w:t>
      </w:r>
      <w:r w:rsidRPr="001B10C2">
        <w:rPr>
          <w:w w:val="105"/>
          <w:sz w:val="24"/>
          <w:szCs w:val="24"/>
        </w:rPr>
        <w:t>is counted</w:t>
      </w:r>
      <w:r w:rsidR="00BC583D" w:rsidRPr="001B10C2">
        <w:rPr>
          <w:w w:val="105"/>
          <w:sz w:val="24"/>
          <w:szCs w:val="24"/>
        </w:rPr>
        <w:t>, counted</w:t>
      </w:r>
      <w:r w:rsidRPr="001B10C2">
        <w:rPr>
          <w:w w:val="105"/>
          <w:sz w:val="24"/>
          <w:szCs w:val="24"/>
        </w:rPr>
        <w:t xml:space="preserve"> only once</w:t>
      </w:r>
      <w:r w:rsidR="00BC583D" w:rsidRPr="001B10C2">
        <w:rPr>
          <w:w w:val="105"/>
          <w:sz w:val="24"/>
          <w:szCs w:val="24"/>
        </w:rPr>
        <w:t>, and counted i</w:t>
      </w:r>
      <w:r w:rsidRPr="001B10C2">
        <w:rPr>
          <w:w w:val="105"/>
          <w:sz w:val="24"/>
          <w:szCs w:val="24"/>
        </w:rPr>
        <w:t xml:space="preserve">n the right </w:t>
      </w:r>
      <w:r w:rsidR="00BC583D" w:rsidRPr="001B10C2">
        <w:rPr>
          <w:w w:val="105"/>
          <w:sz w:val="24"/>
          <w:szCs w:val="24"/>
        </w:rPr>
        <w:t>location</w:t>
      </w:r>
      <w:r w:rsidR="00CA6306" w:rsidRPr="001B10C2">
        <w:rPr>
          <w:w w:val="105"/>
          <w:sz w:val="24"/>
          <w:szCs w:val="24"/>
        </w:rPr>
        <w:t>;</w:t>
      </w:r>
      <w:r w:rsidRPr="001B10C2">
        <w:rPr>
          <w:w w:val="105"/>
          <w:sz w:val="24"/>
          <w:szCs w:val="24"/>
        </w:rPr>
        <w:t xml:space="preserve"> </w:t>
      </w:r>
    </w:p>
    <w:p w:rsidR="00AD5170" w:rsidRPr="001B10C2" w:rsidRDefault="00AD5170" w:rsidP="00AD5170">
      <w:pPr>
        <w:pStyle w:val="NoSpacing"/>
        <w:rPr>
          <w:sz w:val="24"/>
          <w:szCs w:val="24"/>
        </w:rPr>
      </w:pPr>
    </w:p>
    <w:p w:rsidR="00835BD5" w:rsidRPr="001B10C2" w:rsidRDefault="003F68C2" w:rsidP="00374D4B">
      <w:pPr>
        <w:spacing w:before="91"/>
        <w:jc w:val="both"/>
        <w:rPr>
          <w:sz w:val="24"/>
          <w:szCs w:val="24"/>
        </w:rPr>
      </w:pPr>
      <w:r w:rsidRPr="001B10C2">
        <w:rPr>
          <w:b/>
          <w:bCs/>
          <w:sz w:val="24"/>
          <w:szCs w:val="24"/>
        </w:rPr>
        <w:t>NOW, THEREFORE,</w:t>
      </w:r>
      <w:r w:rsidRPr="001B10C2">
        <w:rPr>
          <w:sz w:val="24"/>
          <w:szCs w:val="24"/>
        </w:rPr>
        <w:t xml:space="preserve"> I, Janet T. Mills, Governor of the State of Maine, pursuant to </w:t>
      </w:r>
      <w:r w:rsidRPr="001B10C2">
        <w:rPr>
          <w:i/>
          <w:iCs/>
          <w:sz w:val="24"/>
          <w:szCs w:val="24"/>
        </w:rPr>
        <w:t>Me. Const. Art V, Pt 1, secs. 1 and 12,</w:t>
      </w:r>
      <w:r w:rsidRPr="001B10C2">
        <w:rPr>
          <w:sz w:val="24"/>
          <w:szCs w:val="24"/>
        </w:rPr>
        <w:t xml:space="preserve"> do hereby Order as follows:</w:t>
      </w:r>
    </w:p>
    <w:p w:rsidR="008448B8" w:rsidRPr="001B10C2" w:rsidRDefault="008448B8" w:rsidP="008448B8">
      <w:pPr>
        <w:pStyle w:val="NoSpacing"/>
        <w:rPr>
          <w:w w:val="105"/>
          <w:sz w:val="24"/>
          <w:szCs w:val="24"/>
        </w:rPr>
      </w:pPr>
    </w:p>
    <w:p w:rsidR="003F68C2" w:rsidRPr="001B10C2" w:rsidRDefault="00344399" w:rsidP="00374D4B">
      <w:pPr>
        <w:spacing w:before="91"/>
        <w:jc w:val="both"/>
        <w:rPr>
          <w:sz w:val="24"/>
          <w:szCs w:val="24"/>
        </w:rPr>
      </w:pPr>
      <w:r w:rsidRPr="001B10C2">
        <w:rPr>
          <w:b/>
          <w:w w:val="105"/>
          <w:sz w:val="24"/>
          <w:szCs w:val="24"/>
        </w:rPr>
        <w:t>I.</w:t>
      </w:r>
      <w:r w:rsidRPr="001B10C2">
        <w:rPr>
          <w:b/>
          <w:w w:val="105"/>
          <w:sz w:val="24"/>
          <w:szCs w:val="24"/>
        </w:rPr>
        <w:tab/>
        <w:t>ESTABLISHMENT AND PURPOSE</w:t>
      </w:r>
    </w:p>
    <w:p w:rsidR="00963509" w:rsidRPr="001B10C2" w:rsidRDefault="00D31E39" w:rsidP="00D85764">
      <w:pPr>
        <w:spacing w:before="91"/>
        <w:jc w:val="both"/>
        <w:rPr>
          <w:w w:val="105"/>
          <w:sz w:val="24"/>
          <w:szCs w:val="24"/>
        </w:rPr>
      </w:pPr>
      <w:r w:rsidRPr="001B10C2">
        <w:rPr>
          <w:w w:val="105"/>
          <w:sz w:val="24"/>
          <w:szCs w:val="24"/>
        </w:rPr>
        <w:t>T</w:t>
      </w:r>
      <w:r w:rsidR="00C46BEE" w:rsidRPr="001B10C2">
        <w:rPr>
          <w:w w:val="105"/>
          <w:sz w:val="24"/>
          <w:szCs w:val="24"/>
        </w:rPr>
        <w:t xml:space="preserve">he </w:t>
      </w:r>
      <w:r w:rsidR="00F8362A" w:rsidRPr="001B10C2">
        <w:rPr>
          <w:w w:val="105"/>
          <w:sz w:val="24"/>
          <w:szCs w:val="24"/>
        </w:rPr>
        <w:t>Maine</w:t>
      </w:r>
      <w:r w:rsidR="00C46BEE" w:rsidRPr="001B10C2">
        <w:rPr>
          <w:w w:val="105"/>
          <w:sz w:val="24"/>
          <w:szCs w:val="24"/>
        </w:rPr>
        <w:t xml:space="preserve"> Complete Count</w:t>
      </w:r>
      <w:r w:rsidR="00C46BEE" w:rsidRPr="001B10C2">
        <w:rPr>
          <w:spacing w:val="15"/>
          <w:w w:val="105"/>
          <w:sz w:val="24"/>
          <w:szCs w:val="24"/>
        </w:rPr>
        <w:t xml:space="preserve"> </w:t>
      </w:r>
      <w:r w:rsidR="00C46BEE" w:rsidRPr="001B10C2">
        <w:rPr>
          <w:w w:val="105"/>
          <w:sz w:val="24"/>
          <w:szCs w:val="24"/>
        </w:rPr>
        <w:t>Committee</w:t>
      </w:r>
      <w:r w:rsidRPr="001B10C2">
        <w:rPr>
          <w:w w:val="105"/>
          <w:sz w:val="24"/>
          <w:szCs w:val="24"/>
        </w:rPr>
        <w:t xml:space="preserve"> </w:t>
      </w:r>
      <w:r w:rsidR="00DE06F9" w:rsidRPr="001B10C2">
        <w:rPr>
          <w:w w:val="105"/>
          <w:sz w:val="24"/>
          <w:szCs w:val="24"/>
        </w:rPr>
        <w:t xml:space="preserve">(Committee) </w:t>
      </w:r>
      <w:r w:rsidRPr="001B10C2">
        <w:rPr>
          <w:w w:val="105"/>
          <w:sz w:val="24"/>
          <w:szCs w:val="24"/>
        </w:rPr>
        <w:t>is hereby established</w:t>
      </w:r>
      <w:r w:rsidR="00840E91" w:rsidRPr="001B10C2">
        <w:rPr>
          <w:w w:val="105"/>
          <w:sz w:val="24"/>
          <w:szCs w:val="24"/>
        </w:rPr>
        <w:t xml:space="preserve">.  The purpose of the Committee is to </w:t>
      </w:r>
      <w:r w:rsidR="00A9230A" w:rsidRPr="001B10C2">
        <w:rPr>
          <w:w w:val="105"/>
          <w:sz w:val="24"/>
          <w:szCs w:val="24"/>
        </w:rPr>
        <w:t xml:space="preserve">develop, recommend, and assist in the administration of a </w:t>
      </w:r>
      <w:r w:rsidR="004E5BFA" w:rsidRPr="001B10C2">
        <w:rPr>
          <w:w w:val="105"/>
          <w:sz w:val="24"/>
          <w:szCs w:val="24"/>
        </w:rPr>
        <w:t>C</w:t>
      </w:r>
      <w:r w:rsidR="00A9230A" w:rsidRPr="001B10C2">
        <w:rPr>
          <w:w w:val="105"/>
          <w:sz w:val="24"/>
          <w:szCs w:val="24"/>
        </w:rPr>
        <w:t xml:space="preserve">ensus </w:t>
      </w:r>
      <w:r w:rsidR="004E5BFA" w:rsidRPr="001B10C2">
        <w:rPr>
          <w:w w:val="105"/>
          <w:sz w:val="24"/>
          <w:szCs w:val="24"/>
        </w:rPr>
        <w:t>O</w:t>
      </w:r>
      <w:r w:rsidR="00A9230A" w:rsidRPr="001B10C2">
        <w:rPr>
          <w:w w:val="105"/>
          <w:sz w:val="24"/>
          <w:szCs w:val="24"/>
        </w:rPr>
        <w:t xml:space="preserve">utreach </w:t>
      </w:r>
      <w:r w:rsidR="004E5BFA" w:rsidRPr="001B10C2">
        <w:rPr>
          <w:w w:val="105"/>
          <w:sz w:val="24"/>
          <w:szCs w:val="24"/>
        </w:rPr>
        <w:t>S</w:t>
      </w:r>
      <w:r w:rsidR="00A9230A" w:rsidRPr="001B10C2">
        <w:rPr>
          <w:w w:val="105"/>
          <w:sz w:val="24"/>
          <w:szCs w:val="24"/>
        </w:rPr>
        <w:t>trategy</w:t>
      </w:r>
      <w:r w:rsidR="004E5BFA" w:rsidRPr="001B10C2">
        <w:rPr>
          <w:w w:val="105"/>
          <w:sz w:val="24"/>
          <w:szCs w:val="24"/>
        </w:rPr>
        <w:t xml:space="preserve"> (Strategy) </w:t>
      </w:r>
      <w:r w:rsidR="00A9230A" w:rsidRPr="001B10C2">
        <w:rPr>
          <w:w w:val="105"/>
          <w:sz w:val="24"/>
          <w:szCs w:val="24"/>
        </w:rPr>
        <w:t xml:space="preserve">to encourage full </w:t>
      </w:r>
      <w:r w:rsidR="005B03AF" w:rsidRPr="001B10C2">
        <w:rPr>
          <w:w w:val="105"/>
          <w:sz w:val="24"/>
          <w:szCs w:val="24"/>
        </w:rPr>
        <w:t xml:space="preserve">and accurate </w:t>
      </w:r>
      <w:r w:rsidR="00A9230A" w:rsidRPr="001B10C2">
        <w:rPr>
          <w:w w:val="105"/>
          <w:sz w:val="24"/>
          <w:szCs w:val="24"/>
        </w:rPr>
        <w:t xml:space="preserve">participation in the 2020 </w:t>
      </w:r>
      <w:r w:rsidR="00D85764" w:rsidRPr="001B10C2">
        <w:rPr>
          <w:w w:val="105"/>
          <w:sz w:val="24"/>
          <w:szCs w:val="24"/>
        </w:rPr>
        <w:t xml:space="preserve">Census.  </w:t>
      </w:r>
    </w:p>
    <w:p w:rsidR="004F0401" w:rsidRPr="001B10C2" w:rsidRDefault="00664494" w:rsidP="004F0401">
      <w:pPr>
        <w:spacing w:before="90"/>
        <w:jc w:val="both"/>
        <w:rPr>
          <w:b/>
          <w:sz w:val="24"/>
          <w:szCs w:val="24"/>
        </w:rPr>
      </w:pPr>
      <w:r w:rsidRPr="001B10C2">
        <w:rPr>
          <w:b/>
          <w:sz w:val="24"/>
          <w:szCs w:val="24"/>
        </w:rPr>
        <w:t>II.</w:t>
      </w:r>
      <w:r w:rsidRPr="001B10C2">
        <w:rPr>
          <w:b/>
          <w:sz w:val="24"/>
          <w:szCs w:val="24"/>
        </w:rPr>
        <w:tab/>
        <w:t>COMMITTEE MEMBERSHIP</w:t>
      </w:r>
    </w:p>
    <w:p w:rsidR="00BA63B7" w:rsidRPr="001B10C2" w:rsidRDefault="00BA63B7" w:rsidP="00BA63B7">
      <w:pPr>
        <w:pStyle w:val="NoSpacing"/>
        <w:rPr>
          <w:sz w:val="24"/>
          <w:szCs w:val="24"/>
        </w:rPr>
      </w:pPr>
    </w:p>
    <w:p w:rsidR="00664494" w:rsidRPr="001B10C2" w:rsidRDefault="00664494" w:rsidP="004F0401">
      <w:pPr>
        <w:spacing w:before="90"/>
        <w:jc w:val="both"/>
        <w:rPr>
          <w:b/>
          <w:sz w:val="24"/>
          <w:szCs w:val="24"/>
        </w:rPr>
      </w:pPr>
      <w:r w:rsidRPr="001B10C2">
        <w:rPr>
          <w:w w:val="105"/>
          <w:sz w:val="24"/>
          <w:szCs w:val="24"/>
        </w:rPr>
        <w:t>The Governor shall appoint th</w:t>
      </w:r>
      <w:r w:rsidR="00D34B05" w:rsidRPr="001B10C2">
        <w:rPr>
          <w:w w:val="105"/>
          <w:sz w:val="24"/>
          <w:szCs w:val="24"/>
        </w:rPr>
        <w:t xml:space="preserve">e </w:t>
      </w:r>
      <w:r w:rsidRPr="001B10C2">
        <w:rPr>
          <w:w w:val="105"/>
          <w:sz w:val="24"/>
          <w:szCs w:val="24"/>
        </w:rPr>
        <w:t xml:space="preserve">members and chair(s) of the Committee.  </w:t>
      </w:r>
      <w:r w:rsidR="00D34B05" w:rsidRPr="001B10C2">
        <w:rPr>
          <w:w w:val="105"/>
          <w:sz w:val="24"/>
          <w:szCs w:val="24"/>
        </w:rPr>
        <w:t>M</w:t>
      </w:r>
      <w:r w:rsidRPr="001B10C2">
        <w:rPr>
          <w:w w:val="105"/>
          <w:sz w:val="24"/>
          <w:szCs w:val="24"/>
        </w:rPr>
        <w:t xml:space="preserve">embers </w:t>
      </w:r>
      <w:r w:rsidR="00AF7157" w:rsidRPr="001B10C2">
        <w:rPr>
          <w:w w:val="105"/>
          <w:sz w:val="24"/>
          <w:szCs w:val="24"/>
        </w:rPr>
        <w:t>shall</w:t>
      </w:r>
      <w:r w:rsidR="00D34B05" w:rsidRPr="001B10C2">
        <w:rPr>
          <w:w w:val="105"/>
          <w:sz w:val="24"/>
          <w:szCs w:val="24"/>
        </w:rPr>
        <w:t xml:space="preserve"> </w:t>
      </w:r>
      <w:r w:rsidRPr="001B10C2">
        <w:rPr>
          <w:w w:val="105"/>
          <w:sz w:val="24"/>
          <w:szCs w:val="24"/>
        </w:rPr>
        <w:t xml:space="preserve">include </w:t>
      </w:r>
      <w:r w:rsidR="00E73148" w:rsidRPr="001B10C2">
        <w:rPr>
          <w:w w:val="105"/>
          <w:sz w:val="24"/>
          <w:szCs w:val="24"/>
        </w:rPr>
        <w:t>Commissioners or designees</w:t>
      </w:r>
      <w:r w:rsidR="004A324D" w:rsidRPr="001B10C2">
        <w:rPr>
          <w:w w:val="105"/>
          <w:sz w:val="24"/>
          <w:szCs w:val="24"/>
        </w:rPr>
        <w:t xml:space="preserve"> from the Departments of </w:t>
      </w:r>
      <w:r w:rsidR="00C16E7C" w:rsidRPr="001B10C2">
        <w:rPr>
          <w:w w:val="105"/>
          <w:sz w:val="24"/>
          <w:szCs w:val="24"/>
        </w:rPr>
        <w:t xml:space="preserve">Administrative and Financial Services; Agriculture, Conservation and Forestry; </w:t>
      </w:r>
      <w:r w:rsidR="0094419D" w:rsidRPr="001B10C2">
        <w:rPr>
          <w:w w:val="105"/>
          <w:sz w:val="24"/>
          <w:szCs w:val="24"/>
        </w:rPr>
        <w:t xml:space="preserve">Economic and Community Development; Education; Health and Human Services; </w:t>
      </w:r>
      <w:r w:rsidR="00AA5ED7" w:rsidRPr="001B10C2">
        <w:rPr>
          <w:w w:val="105"/>
          <w:sz w:val="24"/>
          <w:szCs w:val="24"/>
        </w:rPr>
        <w:t>Labor; Public Safety; and Transportation</w:t>
      </w:r>
      <w:r w:rsidR="00931365" w:rsidRPr="001B10C2">
        <w:rPr>
          <w:w w:val="105"/>
          <w:sz w:val="24"/>
          <w:szCs w:val="24"/>
        </w:rPr>
        <w:t xml:space="preserve"> as well as </w:t>
      </w:r>
      <w:r w:rsidR="006041CB" w:rsidRPr="001B10C2">
        <w:rPr>
          <w:w w:val="105"/>
          <w:sz w:val="24"/>
          <w:szCs w:val="24"/>
        </w:rPr>
        <w:t>the Director or designee from the Governor’s Office of Policy Innovation and the Future</w:t>
      </w:r>
      <w:r w:rsidR="005065EB" w:rsidRPr="001B10C2">
        <w:rPr>
          <w:w w:val="105"/>
          <w:sz w:val="24"/>
          <w:szCs w:val="24"/>
        </w:rPr>
        <w:t xml:space="preserve"> and the Secretary of State or designee</w:t>
      </w:r>
      <w:r w:rsidR="00EE51CE" w:rsidRPr="001B10C2">
        <w:rPr>
          <w:w w:val="105"/>
          <w:sz w:val="24"/>
          <w:szCs w:val="24"/>
        </w:rPr>
        <w:t xml:space="preserve">.  </w:t>
      </w:r>
      <w:r w:rsidR="002B4181" w:rsidRPr="001B10C2">
        <w:rPr>
          <w:w w:val="105"/>
          <w:sz w:val="24"/>
          <w:szCs w:val="24"/>
        </w:rPr>
        <w:t xml:space="preserve">The Committee may solicit participation from relevant experts and </w:t>
      </w:r>
      <w:r w:rsidR="00BD193B" w:rsidRPr="001B10C2">
        <w:rPr>
          <w:w w:val="105"/>
          <w:sz w:val="24"/>
          <w:szCs w:val="24"/>
        </w:rPr>
        <w:t xml:space="preserve">the </w:t>
      </w:r>
      <w:r w:rsidR="0083103F" w:rsidRPr="001B10C2">
        <w:rPr>
          <w:w w:val="105"/>
          <w:sz w:val="24"/>
          <w:szCs w:val="24"/>
        </w:rPr>
        <w:t>chair(s) m</w:t>
      </w:r>
      <w:r w:rsidRPr="001B10C2">
        <w:rPr>
          <w:w w:val="105"/>
          <w:sz w:val="24"/>
          <w:szCs w:val="24"/>
        </w:rPr>
        <w:t xml:space="preserve">ay appoint subcommittees as </w:t>
      </w:r>
      <w:r w:rsidR="00BD193B" w:rsidRPr="001B10C2">
        <w:rPr>
          <w:w w:val="105"/>
          <w:sz w:val="24"/>
          <w:szCs w:val="24"/>
        </w:rPr>
        <w:t>d</w:t>
      </w:r>
      <w:r w:rsidRPr="001B10C2">
        <w:rPr>
          <w:w w:val="105"/>
          <w:sz w:val="24"/>
          <w:szCs w:val="24"/>
        </w:rPr>
        <w:t>eem</w:t>
      </w:r>
      <w:r w:rsidR="00BD193B" w:rsidRPr="001B10C2">
        <w:rPr>
          <w:w w:val="105"/>
          <w:sz w:val="24"/>
          <w:szCs w:val="24"/>
        </w:rPr>
        <w:t>ed</w:t>
      </w:r>
      <w:r w:rsidRPr="001B10C2">
        <w:rPr>
          <w:w w:val="105"/>
          <w:sz w:val="24"/>
          <w:szCs w:val="24"/>
        </w:rPr>
        <w:t xml:space="preserve"> appropriate</w:t>
      </w:r>
      <w:r w:rsidR="00BD193B" w:rsidRPr="001B10C2">
        <w:rPr>
          <w:w w:val="105"/>
          <w:sz w:val="24"/>
          <w:szCs w:val="24"/>
        </w:rPr>
        <w:t xml:space="preserve">.  </w:t>
      </w:r>
      <w:r w:rsidRPr="001B10C2">
        <w:rPr>
          <w:w w:val="105"/>
          <w:sz w:val="24"/>
          <w:szCs w:val="24"/>
        </w:rPr>
        <w:t xml:space="preserve">Members shall </w:t>
      </w:r>
      <w:r w:rsidR="00123A65" w:rsidRPr="001B10C2">
        <w:rPr>
          <w:w w:val="105"/>
          <w:sz w:val="24"/>
          <w:szCs w:val="24"/>
        </w:rPr>
        <w:t xml:space="preserve">not </w:t>
      </w:r>
      <w:r w:rsidRPr="001B10C2">
        <w:rPr>
          <w:w w:val="105"/>
          <w:sz w:val="24"/>
          <w:szCs w:val="24"/>
        </w:rPr>
        <w:t>receive compensation for their services.</w:t>
      </w:r>
    </w:p>
    <w:p w:rsidR="00EF6D23" w:rsidRPr="001B10C2" w:rsidRDefault="00EF6D23" w:rsidP="009F01AE">
      <w:pPr>
        <w:adjustRightInd w:val="0"/>
        <w:jc w:val="both"/>
        <w:rPr>
          <w:b/>
          <w:sz w:val="24"/>
          <w:szCs w:val="24"/>
        </w:rPr>
      </w:pPr>
    </w:p>
    <w:p w:rsidR="00A27877" w:rsidRPr="001B10C2" w:rsidRDefault="00344399" w:rsidP="009F01AE">
      <w:pPr>
        <w:adjustRightInd w:val="0"/>
        <w:jc w:val="both"/>
        <w:rPr>
          <w:b/>
          <w:sz w:val="24"/>
          <w:szCs w:val="24"/>
        </w:rPr>
      </w:pPr>
      <w:r w:rsidRPr="001B10C2">
        <w:rPr>
          <w:b/>
          <w:sz w:val="24"/>
          <w:szCs w:val="24"/>
        </w:rPr>
        <w:t>I</w:t>
      </w:r>
      <w:r w:rsidR="00664494" w:rsidRPr="001B10C2">
        <w:rPr>
          <w:b/>
          <w:sz w:val="24"/>
          <w:szCs w:val="24"/>
        </w:rPr>
        <w:t>I</w:t>
      </w:r>
      <w:r w:rsidRPr="001B10C2">
        <w:rPr>
          <w:b/>
          <w:sz w:val="24"/>
          <w:szCs w:val="24"/>
        </w:rPr>
        <w:t>I.</w:t>
      </w:r>
      <w:r w:rsidRPr="001B10C2">
        <w:rPr>
          <w:b/>
          <w:sz w:val="24"/>
          <w:szCs w:val="24"/>
        </w:rPr>
        <w:tab/>
        <w:t>CO</w:t>
      </w:r>
      <w:r w:rsidR="00ED6476" w:rsidRPr="001B10C2">
        <w:rPr>
          <w:b/>
          <w:sz w:val="24"/>
          <w:szCs w:val="24"/>
        </w:rPr>
        <w:t>LLABORATION</w:t>
      </w:r>
      <w:r w:rsidRPr="001B10C2">
        <w:rPr>
          <w:b/>
          <w:sz w:val="24"/>
          <w:szCs w:val="24"/>
        </w:rPr>
        <w:t xml:space="preserve"> </w:t>
      </w:r>
    </w:p>
    <w:p w:rsidR="00BA63B7" w:rsidRPr="001B10C2" w:rsidRDefault="00BA63B7" w:rsidP="00BA63B7">
      <w:pPr>
        <w:pStyle w:val="NoSpacing"/>
        <w:rPr>
          <w:sz w:val="24"/>
          <w:szCs w:val="24"/>
        </w:rPr>
      </w:pPr>
    </w:p>
    <w:p w:rsidR="00835BD5" w:rsidRPr="001B10C2" w:rsidRDefault="003558FB" w:rsidP="009F01AE">
      <w:pPr>
        <w:spacing w:before="91"/>
        <w:jc w:val="both"/>
        <w:rPr>
          <w:w w:val="105"/>
          <w:sz w:val="24"/>
          <w:szCs w:val="24"/>
        </w:rPr>
      </w:pPr>
      <w:r w:rsidRPr="001B10C2">
        <w:rPr>
          <w:w w:val="105"/>
          <w:sz w:val="24"/>
          <w:szCs w:val="24"/>
        </w:rPr>
        <w:t>In designing the state's outreach strategy</w:t>
      </w:r>
      <w:r w:rsidR="000063B2" w:rsidRPr="001B10C2">
        <w:rPr>
          <w:w w:val="105"/>
          <w:sz w:val="24"/>
          <w:szCs w:val="24"/>
        </w:rPr>
        <w:t xml:space="preserve"> to support and raise public awareness of the 2020 Census</w:t>
      </w:r>
      <w:r w:rsidR="00532D7C" w:rsidRPr="001B10C2">
        <w:rPr>
          <w:w w:val="105"/>
          <w:sz w:val="24"/>
          <w:szCs w:val="24"/>
        </w:rPr>
        <w:t>,</w:t>
      </w:r>
      <w:r w:rsidR="000063B2" w:rsidRPr="001B10C2">
        <w:rPr>
          <w:w w:val="105"/>
          <w:sz w:val="24"/>
          <w:szCs w:val="24"/>
        </w:rPr>
        <w:t xml:space="preserve"> </w:t>
      </w:r>
      <w:r w:rsidRPr="001B10C2">
        <w:rPr>
          <w:w w:val="105"/>
          <w:sz w:val="24"/>
          <w:szCs w:val="24"/>
        </w:rPr>
        <w:t>the Committee shall collaborate with the United States Bureau of the Census,</w:t>
      </w:r>
      <w:r w:rsidR="000063B2" w:rsidRPr="001B10C2">
        <w:rPr>
          <w:w w:val="105"/>
          <w:sz w:val="24"/>
          <w:szCs w:val="24"/>
        </w:rPr>
        <w:t xml:space="preserve"> </w:t>
      </w:r>
      <w:r w:rsidR="00E10442" w:rsidRPr="001B10C2">
        <w:rPr>
          <w:w w:val="105"/>
          <w:sz w:val="24"/>
          <w:szCs w:val="24"/>
        </w:rPr>
        <w:t xml:space="preserve">legislative leaders, the </w:t>
      </w:r>
      <w:r w:rsidR="000063B2" w:rsidRPr="001B10C2">
        <w:rPr>
          <w:w w:val="105"/>
          <w:sz w:val="24"/>
          <w:szCs w:val="24"/>
        </w:rPr>
        <w:t xml:space="preserve">Governor’s Office, state agencies, </w:t>
      </w:r>
      <w:r w:rsidR="00E10442" w:rsidRPr="001B10C2">
        <w:rPr>
          <w:w w:val="105"/>
          <w:sz w:val="24"/>
          <w:szCs w:val="24"/>
        </w:rPr>
        <w:t xml:space="preserve">and leaders of </w:t>
      </w:r>
      <w:r w:rsidR="0022394C" w:rsidRPr="001B10C2">
        <w:rPr>
          <w:w w:val="105"/>
          <w:sz w:val="24"/>
          <w:szCs w:val="24"/>
        </w:rPr>
        <w:t xml:space="preserve">local governments and </w:t>
      </w:r>
      <w:r w:rsidR="00307F38" w:rsidRPr="001B10C2">
        <w:rPr>
          <w:w w:val="105"/>
          <w:sz w:val="24"/>
          <w:szCs w:val="24"/>
        </w:rPr>
        <w:t>community</w:t>
      </w:r>
      <w:r w:rsidR="0022394C" w:rsidRPr="001B10C2">
        <w:rPr>
          <w:w w:val="105"/>
          <w:sz w:val="24"/>
          <w:szCs w:val="24"/>
        </w:rPr>
        <w:t>, f</w:t>
      </w:r>
      <w:r w:rsidR="00307F38" w:rsidRPr="001B10C2">
        <w:rPr>
          <w:w w:val="105"/>
          <w:sz w:val="24"/>
          <w:szCs w:val="24"/>
        </w:rPr>
        <w:t xml:space="preserve">aith </w:t>
      </w:r>
      <w:r w:rsidR="0022394C" w:rsidRPr="001B10C2">
        <w:rPr>
          <w:w w:val="105"/>
          <w:sz w:val="24"/>
          <w:szCs w:val="24"/>
        </w:rPr>
        <w:t xml:space="preserve">and </w:t>
      </w:r>
      <w:r w:rsidR="00307F38" w:rsidRPr="001B10C2">
        <w:rPr>
          <w:w w:val="105"/>
          <w:sz w:val="24"/>
          <w:szCs w:val="24"/>
        </w:rPr>
        <w:t>non-profit organizations</w:t>
      </w:r>
      <w:r w:rsidR="00690CF4" w:rsidRPr="001B10C2">
        <w:rPr>
          <w:w w:val="105"/>
          <w:sz w:val="24"/>
          <w:szCs w:val="24"/>
        </w:rPr>
        <w:t xml:space="preserve">.  </w:t>
      </w:r>
      <w:r w:rsidR="000A779D" w:rsidRPr="001B10C2">
        <w:rPr>
          <w:w w:val="105"/>
          <w:sz w:val="24"/>
          <w:szCs w:val="24"/>
        </w:rPr>
        <w:t>All departments and agencies of the state and local government shall furnish such advice and information</w:t>
      </w:r>
      <w:r w:rsidR="00C17905" w:rsidRPr="001B10C2">
        <w:rPr>
          <w:w w:val="105"/>
          <w:sz w:val="24"/>
          <w:szCs w:val="24"/>
        </w:rPr>
        <w:t xml:space="preserve"> </w:t>
      </w:r>
      <w:r w:rsidR="000A779D" w:rsidRPr="001B10C2">
        <w:rPr>
          <w:w w:val="105"/>
          <w:sz w:val="24"/>
          <w:szCs w:val="24"/>
        </w:rPr>
        <w:t xml:space="preserve">to the </w:t>
      </w:r>
      <w:r w:rsidR="00C17905" w:rsidRPr="001B10C2">
        <w:rPr>
          <w:w w:val="105"/>
          <w:sz w:val="24"/>
          <w:szCs w:val="24"/>
        </w:rPr>
        <w:t>C</w:t>
      </w:r>
      <w:r w:rsidR="000A779D" w:rsidRPr="001B10C2">
        <w:rPr>
          <w:w w:val="105"/>
          <w:sz w:val="24"/>
          <w:szCs w:val="24"/>
        </w:rPr>
        <w:t xml:space="preserve">ommittee deemed necessary or desirable by the </w:t>
      </w:r>
      <w:r w:rsidR="00C17905" w:rsidRPr="001B10C2">
        <w:rPr>
          <w:w w:val="105"/>
          <w:sz w:val="24"/>
          <w:szCs w:val="24"/>
        </w:rPr>
        <w:t>C</w:t>
      </w:r>
      <w:r w:rsidR="000A779D" w:rsidRPr="001B10C2">
        <w:rPr>
          <w:w w:val="105"/>
          <w:sz w:val="24"/>
          <w:szCs w:val="24"/>
        </w:rPr>
        <w:t xml:space="preserve">ommittee to facilitate </w:t>
      </w:r>
      <w:r w:rsidR="00C17905" w:rsidRPr="001B10C2">
        <w:rPr>
          <w:w w:val="105"/>
          <w:sz w:val="24"/>
          <w:szCs w:val="24"/>
        </w:rPr>
        <w:t xml:space="preserve">its work.  </w:t>
      </w:r>
      <w:r w:rsidR="000A779D" w:rsidRPr="001B10C2">
        <w:rPr>
          <w:w w:val="105"/>
          <w:sz w:val="24"/>
          <w:szCs w:val="24"/>
        </w:rPr>
        <w:t>The Department of Administrati</w:t>
      </w:r>
      <w:r w:rsidR="009F7DC0" w:rsidRPr="001B10C2">
        <w:rPr>
          <w:w w:val="105"/>
          <w:sz w:val="24"/>
          <w:szCs w:val="24"/>
        </w:rPr>
        <w:t xml:space="preserve">ve and Financial Services </w:t>
      </w:r>
      <w:r w:rsidR="00ED6476" w:rsidRPr="001B10C2">
        <w:rPr>
          <w:w w:val="105"/>
          <w:sz w:val="24"/>
          <w:szCs w:val="24"/>
        </w:rPr>
        <w:t xml:space="preserve">shall provide </w:t>
      </w:r>
      <w:r w:rsidR="00A1012B" w:rsidRPr="001B10C2">
        <w:rPr>
          <w:w w:val="105"/>
          <w:sz w:val="24"/>
          <w:szCs w:val="24"/>
        </w:rPr>
        <w:t xml:space="preserve">administrative support </w:t>
      </w:r>
      <w:r w:rsidR="00A11CAB" w:rsidRPr="001B10C2">
        <w:rPr>
          <w:w w:val="105"/>
          <w:sz w:val="24"/>
          <w:szCs w:val="24"/>
        </w:rPr>
        <w:t>for</w:t>
      </w:r>
      <w:r w:rsidR="00A1012B" w:rsidRPr="001B10C2">
        <w:rPr>
          <w:w w:val="105"/>
          <w:sz w:val="24"/>
          <w:szCs w:val="24"/>
        </w:rPr>
        <w:t xml:space="preserve"> the </w:t>
      </w:r>
      <w:r w:rsidR="00ED6476" w:rsidRPr="001B10C2">
        <w:rPr>
          <w:w w:val="105"/>
          <w:sz w:val="24"/>
          <w:szCs w:val="24"/>
        </w:rPr>
        <w:t>C</w:t>
      </w:r>
      <w:r w:rsidR="00A1012B" w:rsidRPr="001B10C2">
        <w:rPr>
          <w:w w:val="105"/>
          <w:sz w:val="24"/>
          <w:szCs w:val="24"/>
        </w:rPr>
        <w:t>ommittee</w:t>
      </w:r>
      <w:r w:rsidR="00ED6476" w:rsidRPr="001B10C2">
        <w:rPr>
          <w:w w:val="105"/>
          <w:sz w:val="24"/>
          <w:szCs w:val="24"/>
        </w:rPr>
        <w:t>.</w:t>
      </w:r>
    </w:p>
    <w:p w:rsidR="00BA63B7" w:rsidRPr="001B10C2" w:rsidRDefault="00BA63B7" w:rsidP="00BA63B7">
      <w:pPr>
        <w:pStyle w:val="NoSpacing"/>
        <w:rPr>
          <w:w w:val="105"/>
          <w:sz w:val="24"/>
          <w:szCs w:val="24"/>
        </w:rPr>
      </w:pPr>
    </w:p>
    <w:p w:rsidR="00963509" w:rsidRPr="001B10C2" w:rsidRDefault="00344399" w:rsidP="009F01AE">
      <w:pPr>
        <w:spacing w:before="91"/>
        <w:jc w:val="both"/>
        <w:rPr>
          <w:w w:val="105"/>
          <w:sz w:val="24"/>
          <w:szCs w:val="24"/>
        </w:rPr>
      </w:pPr>
      <w:r w:rsidRPr="001B10C2">
        <w:rPr>
          <w:b/>
          <w:w w:val="105"/>
          <w:sz w:val="24"/>
          <w:szCs w:val="24"/>
        </w:rPr>
        <w:t>I</w:t>
      </w:r>
      <w:r w:rsidR="008721A9" w:rsidRPr="001B10C2">
        <w:rPr>
          <w:b/>
          <w:w w:val="105"/>
          <w:sz w:val="24"/>
          <w:szCs w:val="24"/>
        </w:rPr>
        <w:t>V</w:t>
      </w:r>
      <w:r w:rsidRPr="001B10C2">
        <w:rPr>
          <w:b/>
          <w:w w:val="105"/>
          <w:sz w:val="24"/>
          <w:szCs w:val="24"/>
        </w:rPr>
        <w:t>.</w:t>
      </w:r>
      <w:r w:rsidRPr="001B10C2">
        <w:rPr>
          <w:b/>
          <w:w w:val="105"/>
          <w:sz w:val="24"/>
          <w:szCs w:val="24"/>
        </w:rPr>
        <w:tab/>
      </w:r>
      <w:r w:rsidR="008721A9" w:rsidRPr="001B10C2">
        <w:rPr>
          <w:b/>
          <w:w w:val="105"/>
          <w:sz w:val="24"/>
          <w:szCs w:val="24"/>
        </w:rPr>
        <w:t xml:space="preserve">OUTREACH </w:t>
      </w:r>
      <w:r w:rsidRPr="001B10C2">
        <w:rPr>
          <w:b/>
          <w:sz w:val="24"/>
          <w:szCs w:val="24"/>
        </w:rPr>
        <w:t>STRATEGY</w:t>
      </w:r>
    </w:p>
    <w:p w:rsidR="007252DF" w:rsidRPr="001B10C2" w:rsidRDefault="007252DF" w:rsidP="007252DF">
      <w:pPr>
        <w:pStyle w:val="NoSpacing"/>
        <w:rPr>
          <w:w w:val="105"/>
          <w:sz w:val="24"/>
          <w:szCs w:val="24"/>
        </w:rPr>
      </w:pPr>
    </w:p>
    <w:p w:rsidR="004F0401" w:rsidRPr="001B10C2" w:rsidRDefault="00963509" w:rsidP="004F0401">
      <w:pPr>
        <w:spacing w:before="91"/>
        <w:jc w:val="both"/>
        <w:rPr>
          <w:w w:val="105"/>
          <w:sz w:val="24"/>
          <w:szCs w:val="24"/>
        </w:rPr>
      </w:pPr>
      <w:r w:rsidRPr="001B10C2">
        <w:rPr>
          <w:w w:val="105"/>
          <w:sz w:val="24"/>
          <w:szCs w:val="24"/>
        </w:rPr>
        <w:t>The Committee’s Census Outreach Strategy shall include</w:t>
      </w:r>
      <w:r w:rsidR="00690CF4" w:rsidRPr="001B10C2">
        <w:rPr>
          <w:w w:val="105"/>
          <w:sz w:val="24"/>
          <w:szCs w:val="24"/>
        </w:rPr>
        <w:t xml:space="preserve"> </w:t>
      </w:r>
      <w:r w:rsidRPr="001B10C2">
        <w:rPr>
          <w:w w:val="105"/>
          <w:sz w:val="24"/>
          <w:szCs w:val="24"/>
        </w:rPr>
        <w:t>state</w:t>
      </w:r>
      <w:r w:rsidR="003D3FE9" w:rsidRPr="001B10C2">
        <w:rPr>
          <w:w w:val="105"/>
          <w:sz w:val="24"/>
          <w:szCs w:val="24"/>
        </w:rPr>
        <w:t xml:space="preserve">-level </w:t>
      </w:r>
      <w:r w:rsidRPr="001B10C2">
        <w:rPr>
          <w:w w:val="105"/>
          <w:sz w:val="24"/>
          <w:szCs w:val="24"/>
        </w:rPr>
        <w:t>initiatives</w:t>
      </w:r>
      <w:r w:rsidR="00D40C66" w:rsidRPr="001B10C2">
        <w:rPr>
          <w:w w:val="105"/>
          <w:sz w:val="24"/>
          <w:szCs w:val="24"/>
        </w:rPr>
        <w:t xml:space="preserve"> developed within existing resources to reach the broadest audience possible</w:t>
      </w:r>
      <w:r w:rsidR="00D00E59" w:rsidRPr="001B10C2">
        <w:rPr>
          <w:w w:val="105"/>
          <w:sz w:val="24"/>
          <w:szCs w:val="24"/>
        </w:rPr>
        <w:t xml:space="preserve">, with </w:t>
      </w:r>
      <w:r w:rsidR="00DD6F20">
        <w:rPr>
          <w:w w:val="105"/>
          <w:sz w:val="24"/>
          <w:szCs w:val="24"/>
        </w:rPr>
        <w:t xml:space="preserve">attention to </w:t>
      </w:r>
      <w:r w:rsidR="0056765F" w:rsidRPr="001B10C2">
        <w:rPr>
          <w:w w:val="105"/>
          <w:sz w:val="24"/>
          <w:szCs w:val="24"/>
        </w:rPr>
        <w:t>th</w:t>
      </w:r>
      <w:r w:rsidR="00205EEB" w:rsidRPr="001B10C2">
        <w:rPr>
          <w:w w:val="105"/>
          <w:sz w:val="24"/>
          <w:szCs w:val="24"/>
        </w:rPr>
        <w:t xml:space="preserve">ose </w:t>
      </w:r>
      <w:r w:rsidR="0056765F" w:rsidRPr="001B10C2">
        <w:rPr>
          <w:w w:val="105"/>
          <w:sz w:val="24"/>
          <w:szCs w:val="24"/>
        </w:rPr>
        <w:t xml:space="preserve">residents </w:t>
      </w:r>
      <w:r w:rsidR="00205EEB" w:rsidRPr="001B10C2">
        <w:rPr>
          <w:w w:val="105"/>
          <w:sz w:val="24"/>
          <w:szCs w:val="24"/>
        </w:rPr>
        <w:t>who the U.S. Census Bureau identifies as t</w:t>
      </w:r>
      <w:r w:rsidR="0056765F" w:rsidRPr="001B10C2">
        <w:rPr>
          <w:w w:val="105"/>
          <w:sz w:val="24"/>
          <w:szCs w:val="24"/>
        </w:rPr>
        <w:t>raditionally undercounted in the decennial census process</w:t>
      </w:r>
      <w:r w:rsidR="00F83276" w:rsidRPr="001B10C2">
        <w:rPr>
          <w:w w:val="105"/>
          <w:sz w:val="24"/>
          <w:szCs w:val="24"/>
        </w:rPr>
        <w:t xml:space="preserve"> </w:t>
      </w:r>
      <w:r w:rsidR="00A27877" w:rsidRPr="001B10C2">
        <w:rPr>
          <w:w w:val="105"/>
          <w:sz w:val="24"/>
          <w:szCs w:val="24"/>
        </w:rPr>
        <w:t>to ensure th</w:t>
      </w:r>
      <w:r w:rsidR="007E21CE" w:rsidRPr="001B10C2">
        <w:rPr>
          <w:w w:val="105"/>
          <w:sz w:val="24"/>
          <w:szCs w:val="24"/>
        </w:rPr>
        <w:t xml:space="preserve">at the </w:t>
      </w:r>
      <w:r w:rsidR="00A27877" w:rsidRPr="001B10C2">
        <w:rPr>
          <w:w w:val="105"/>
          <w:sz w:val="24"/>
          <w:szCs w:val="24"/>
        </w:rPr>
        <w:t>results are as accurate as possible</w:t>
      </w:r>
      <w:r w:rsidR="00185322" w:rsidRPr="001B10C2">
        <w:rPr>
          <w:w w:val="105"/>
          <w:sz w:val="24"/>
          <w:szCs w:val="24"/>
        </w:rPr>
        <w:t>.</w:t>
      </w:r>
      <w:r w:rsidR="00E960AD" w:rsidRPr="001B10C2">
        <w:rPr>
          <w:w w:val="105"/>
          <w:sz w:val="24"/>
          <w:szCs w:val="24"/>
        </w:rPr>
        <w:t xml:space="preserve">  </w:t>
      </w:r>
      <w:r w:rsidR="00185322" w:rsidRPr="001B10C2">
        <w:rPr>
          <w:w w:val="105"/>
          <w:sz w:val="24"/>
          <w:szCs w:val="24"/>
        </w:rPr>
        <w:t xml:space="preserve">Such </w:t>
      </w:r>
      <w:r w:rsidR="00F83276" w:rsidRPr="001B10C2">
        <w:rPr>
          <w:w w:val="105"/>
          <w:sz w:val="24"/>
          <w:szCs w:val="24"/>
        </w:rPr>
        <w:t xml:space="preserve">traditionally hard-to-count </w:t>
      </w:r>
      <w:r w:rsidR="0037452C" w:rsidRPr="001B10C2">
        <w:rPr>
          <w:w w:val="105"/>
          <w:sz w:val="24"/>
          <w:szCs w:val="24"/>
        </w:rPr>
        <w:t>populations include</w:t>
      </w:r>
      <w:r w:rsidR="000572AC" w:rsidRPr="001B10C2">
        <w:rPr>
          <w:w w:val="105"/>
          <w:sz w:val="24"/>
          <w:szCs w:val="24"/>
        </w:rPr>
        <w:t>, but are not limited to</w:t>
      </w:r>
      <w:r w:rsidR="0037452C" w:rsidRPr="001B10C2">
        <w:rPr>
          <w:w w:val="105"/>
          <w:sz w:val="24"/>
          <w:szCs w:val="24"/>
        </w:rPr>
        <w:t>, r</w:t>
      </w:r>
      <w:r w:rsidR="000572AC" w:rsidRPr="001B10C2">
        <w:rPr>
          <w:w w:val="105"/>
          <w:sz w:val="24"/>
          <w:szCs w:val="24"/>
        </w:rPr>
        <w:t>acial and ethnic</w:t>
      </w:r>
      <w:r w:rsidR="000572AC" w:rsidRPr="001B10C2">
        <w:rPr>
          <w:spacing w:val="1"/>
          <w:w w:val="105"/>
          <w:sz w:val="24"/>
          <w:szCs w:val="24"/>
        </w:rPr>
        <w:t xml:space="preserve"> </w:t>
      </w:r>
      <w:r w:rsidR="000572AC" w:rsidRPr="001B10C2">
        <w:rPr>
          <w:w w:val="105"/>
          <w:sz w:val="24"/>
          <w:szCs w:val="24"/>
        </w:rPr>
        <w:t>minorities</w:t>
      </w:r>
      <w:r w:rsidR="0037452C" w:rsidRPr="001B10C2">
        <w:rPr>
          <w:w w:val="105"/>
          <w:sz w:val="24"/>
          <w:szCs w:val="24"/>
        </w:rPr>
        <w:t>; n</w:t>
      </w:r>
      <w:r w:rsidR="000572AC" w:rsidRPr="001B10C2">
        <w:rPr>
          <w:w w:val="105"/>
          <w:sz w:val="24"/>
          <w:szCs w:val="24"/>
        </w:rPr>
        <w:t>on-fluent English</w:t>
      </w:r>
      <w:r w:rsidR="000572AC" w:rsidRPr="001B10C2">
        <w:rPr>
          <w:spacing w:val="-19"/>
          <w:w w:val="105"/>
          <w:sz w:val="24"/>
          <w:szCs w:val="24"/>
        </w:rPr>
        <w:t xml:space="preserve"> </w:t>
      </w:r>
      <w:r w:rsidR="000572AC" w:rsidRPr="001B10C2">
        <w:rPr>
          <w:w w:val="105"/>
          <w:sz w:val="24"/>
          <w:szCs w:val="24"/>
        </w:rPr>
        <w:t>speakers</w:t>
      </w:r>
      <w:r w:rsidR="0037452C" w:rsidRPr="001B10C2">
        <w:rPr>
          <w:w w:val="105"/>
          <w:sz w:val="24"/>
          <w:szCs w:val="24"/>
        </w:rPr>
        <w:t>; l</w:t>
      </w:r>
      <w:r w:rsidR="000572AC" w:rsidRPr="001B10C2">
        <w:rPr>
          <w:w w:val="105"/>
          <w:sz w:val="24"/>
          <w:szCs w:val="24"/>
        </w:rPr>
        <w:t>ower-income</w:t>
      </w:r>
      <w:r w:rsidR="000572AC" w:rsidRPr="001B10C2">
        <w:rPr>
          <w:spacing w:val="33"/>
          <w:w w:val="105"/>
          <w:sz w:val="24"/>
          <w:szCs w:val="24"/>
        </w:rPr>
        <w:t xml:space="preserve"> </w:t>
      </w:r>
      <w:r w:rsidR="000572AC" w:rsidRPr="001B10C2">
        <w:rPr>
          <w:w w:val="105"/>
          <w:sz w:val="24"/>
          <w:szCs w:val="24"/>
        </w:rPr>
        <w:t>persons</w:t>
      </w:r>
      <w:r w:rsidR="00E960AD" w:rsidRPr="001B10C2">
        <w:rPr>
          <w:w w:val="105"/>
          <w:sz w:val="24"/>
          <w:szCs w:val="24"/>
        </w:rPr>
        <w:t>; u</w:t>
      </w:r>
      <w:r w:rsidR="000572AC" w:rsidRPr="001B10C2">
        <w:rPr>
          <w:w w:val="105"/>
          <w:sz w:val="24"/>
          <w:szCs w:val="24"/>
        </w:rPr>
        <w:t>ndocumented</w:t>
      </w:r>
      <w:r w:rsidR="000572AC" w:rsidRPr="001B10C2">
        <w:rPr>
          <w:spacing w:val="26"/>
          <w:w w:val="105"/>
          <w:sz w:val="24"/>
          <w:szCs w:val="24"/>
        </w:rPr>
        <w:t xml:space="preserve"> </w:t>
      </w:r>
      <w:r w:rsidR="000572AC" w:rsidRPr="001B10C2">
        <w:rPr>
          <w:w w:val="105"/>
          <w:sz w:val="24"/>
          <w:szCs w:val="24"/>
        </w:rPr>
        <w:t>immigrants</w:t>
      </w:r>
      <w:r w:rsidR="00E960AD" w:rsidRPr="001B10C2">
        <w:rPr>
          <w:w w:val="105"/>
          <w:sz w:val="24"/>
          <w:szCs w:val="24"/>
        </w:rPr>
        <w:t>; c</w:t>
      </w:r>
      <w:r w:rsidR="000572AC" w:rsidRPr="001B10C2">
        <w:rPr>
          <w:w w:val="110"/>
          <w:sz w:val="24"/>
          <w:szCs w:val="24"/>
        </w:rPr>
        <w:t>hildren</w:t>
      </w:r>
      <w:r w:rsidR="00E960AD" w:rsidRPr="001B10C2">
        <w:rPr>
          <w:w w:val="110"/>
          <w:sz w:val="24"/>
          <w:szCs w:val="24"/>
        </w:rPr>
        <w:t>; and</w:t>
      </w:r>
      <w:r w:rsidR="00F501A1" w:rsidRPr="001B10C2">
        <w:rPr>
          <w:w w:val="110"/>
          <w:sz w:val="24"/>
          <w:szCs w:val="24"/>
        </w:rPr>
        <w:t xml:space="preserve"> mobile residents</w:t>
      </w:r>
      <w:r w:rsidR="00E960AD" w:rsidRPr="001B10C2">
        <w:rPr>
          <w:w w:val="105"/>
          <w:sz w:val="24"/>
          <w:szCs w:val="24"/>
        </w:rPr>
        <w:t>.</w:t>
      </w:r>
      <w:r w:rsidR="00AB6FEE" w:rsidRPr="001B10C2">
        <w:rPr>
          <w:w w:val="105"/>
          <w:sz w:val="24"/>
          <w:szCs w:val="24"/>
        </w:rPr>
        <w:t xml:space="preserve"> The Strategy shall be designed to address the geographic and demographic challenges associated with </w:t>
      </w:r>
      <w:r w:rsidR="007A39AC" w:rsidRPr="001B10C2">
        <w:rPr>
          <w:w w:val="105"/>
          <w:sz w:val="24"/>
          <w:szCs w:val="24"/>
        </w:rPr>
        <w:t xml:space="preserve">the online response format of Census 2020. </w:t>
      </w:r>
    </w:p>
    <w:p w:rsidR="00BA63B7" w:rsidRPr="001B10C2" w:rsidRDefault="00BA63B7" w:rsidP="00BA63B7">
      <w:pPr>
        <w:pStyle w:val="NoSpacing"/>
        <w:rPr>
          <w:w w:val="105"/>
          <w:sz w:val="24"/>
          <w:szCs w:val="24"/>
        </w:rPr>
      </w:pPr>
    </w:p>
    <w:p w:rsidR="00835BD5" w:rsidRPr="001B10C2" w:rsidRDefault="00344399" w:rsidP="004F0401">
      <w:pPr>
        <w:spacing w:before="91"/>
        <w:jc w:val="both"/>
        <w:rPr>
          <w:b/>
          <w:w w:val="105"/>
          <w:sz w:val="24"/>
          <w:szCs w:val="24"/>
        </w:rPr>
      </w:pPr>
      <w:r w:rsidRPr="001B10C2">
        <w:rPr>
          <w:b/>
          <w:w w:val="105"/>
          <w:sz w:val="24"/>
          <w:szCs w:val="24"/>
        </w:rPr>
        <w:t>V.</w:t>
      </w:r>
      <w:r w:rsidRPr="001B10C2">
        <w:rPr>
          <w:b/>
          <w:w w:val="105"/>
          <w:sz w:val="24"/>
          <w:szCs w:val="24"/>
        </w:rPr>
        <w:tab/>
        <w:t>REPORTS</w:t>
      </w:r>
    </w:p>
    <w:p w:rsidR="00BA63B7" w:rsidRPr="001B10C2" w:rsidRDefault="00BA63B7" w:rsidP="00BA63B7">
      <w:pPr>
        <w:pStyle w:val="NoSpacing"/>
        <w:rPr>
          <w:w w:val="105"/>
          <w:sz w:val="24"/>
          <w:szCs w:val="24"/>
        </w:rPr>
      </w:pPr>
    </w:p>
    <w:p w:rsidR="00835BD5" w:rsidRPr="001B10C2" w:rsidRDefault="00C46BEE" w:rsidP="00835BD5">
      <w:pPr>
        <w:spacing w:before="91"/>
        <w:jc w:val="both"/>
        <w:rPr>
          <w:w w:val="105"/>
          <w:sz w:val="24"/>
          <w:szCs w:val="24"/>
        </w:rPr>
      </w:pPr>
      <w:r w:rsidRPr="001B10C2">
        <w:rPr>
          <w:w w:val="105"/>
          <w:sz w:val="24"/>
          <w:szCs w:val="24"/>
        </w:rPr>
        <w:t xml:space="preserve">The </w:t>
      </w:r>
      <w:r w:rsidR="000A779D" w:rsidRPr="001B10C2">
        <w:rPr>
          <w:w w:val="105"/>
          <w:sz w:val="24"/>
          <w:szCs w:val="24"/>
        </w:rPr>
        <w:t>C</w:t>
      </w:r>
      <w:r w:rsidRPr="001B10C2">
        <w:rPr>
          <w:w w:val="105"/>
          <w:sz w:val="24"/>
          <w:szCs w:val="24"/>
        </w:rPr>
        <w:t xml:space="preserve">ommittee shall submit an interim report to the Governor by </w:t>
      </w:r>
      <w:r w:rsidR="0030460B">
        <w:rPr>
          <w:w w:val="105"/>
          <w:sz w:val="24"/>
          <w:szCs w:val="24"/>
        </w:rPr>
        <w:t>December 3</w:t>
      </w:r>
      <w:r w:rsidR="004578BB">
        <w:rPr>
          <w:w w:val="105"/>
          <w:sz w:val="24"/>
          <w:szCs w:val="24"/>
        </w:rPr>
        <w:t>1</w:t>
      </w:r>
      <w:r w:rsidR="0030460B">
        <w:rPr>
          <w:w w:val="105"/>
          <w:sz w:val="24"/>
          <w:szCs w:val="24"/>
        </w:rPr>
        <w:t>, 2019</w:t>
      </w:r>
      <w:r w:rsidRPr="001B10C2">
        <w:rPr>
          <w:w w:val="105"/>
          <w:sz w:val="24"/>
          <w:szCs w:val="24"/>
        </w:rPr>
        <w:t>, recommend</w:t>
      </w:r>
      <w:r w:rsidR="00A87DF1" w:rsidRPr="001B10C2">
        <w:rPr>
          <w:w w:val="105"/>
          <w:sz w:val="24"/>
          <w:szCs w:val="24"/>
        </w:rPr>
        <w:t xml:space="preserve">ing </w:t>
      </w:r>
      <w:r w:rsidR="00B266B0" w:rsidRPr="001B10C2">
        <w:rPr>
          <w:w w:val="105"/>
          <w:sz w:val="24"/>
          <w:szCs w:val="24"/>
        </w:rPr>
        <w:t>a</w:t>
      </w:r>
      <w:r w:rsidR="00A87DF1" w:rsidRPr="001B10C2">
        <w:rPr>
          <w:w w:val="105"/>
          <w:sz w:val="24"/>
          <w:szCs w:val="24"/>
        </w:rPr>
        <w:t xml:space="preserve"> S</w:t>
      </w:r>
      <w:r w:rsidRPr="001B10C2">
        <w:rPr>
          <w:w w:val="105"/>
          <w:sz w:val="24"/>
          <w:szCs w:val="24"/>
        </w:rPr>
        <w:t>trategy to encourage full participation and to avoid an undercount in the 2020 Census</w:t>
      </w:r>
      <w:r w:rsidR="00855D2F" w:rsidRPr="001B10C2">
        <w:rPr>
          <w:w w:val="105"/>
          <w:sz w:val="24"/>
          <w:szCs w:val="24"/>
        </w:rPr>
        <w:t>.  T</w:t>
      </w:r>
      <w:r w:rsidRPr="001B10C2">
        <w:rPr>
          <w:w w:val="105"/>
          <w:sz w:val="24"/>
          <w:szCs w:val="24"/>
        </w:rPr>
        <w:t xml:space="preserve">hereafter, the </w:t>
      </w:r>
      <w:r w:rsidR="00855D2F" w:rsidRPr="001B10C2">
        <w:rPr>
          <w:w w:val="105"/>
          <w:sz w:val="24"/>
          <w:szCs w:val="24"/>
        </w:rPr>
        <w:t>C</w:t>
      </w:r>
      <w:r w:rsidRPr="001B10C2">
        <w:rPr>
          <w:w w:val="105"/>
          <w:sz w:val="24"/>
          <w:szCs w:val="24"/>
        </w:rPr>
        <w:t xml:space="preserve">ommittee shall submit </w:t>
      </w:r>
      <w:r w:rsidR="00A87DF1" w:rsidRPr="001B10C2">
        <w:rPr>
          <w:w w:val="105"/>
          <w:sz w:val="24"/>
          <w:szCs w:val="24"/>
        </w:rPr>
        <w:t>a</w:t>
      </w:r>
      <w:r w:rsidRPr="001B10C2">
        <w:rPr>
          <w:w w:val="105"/>
          <w:sz w:val="24"/>
          <w:szCs w:val="24"/>
        </w:rPr>
        <w:t xml:space="preserve"> final report to the Governor no later than </w:t>
      </w:r>
      <w:r w:rsidR="00785FDC">
        <w:rPr>
          <w:w w:val="105"/>
          <w:sz w:val="24"/>
          <w:szCs w:val="24"/>
        </w:rPr>
        <w:t>March 1, 20</w:t>
      </w:r>
      <w:r w:rsidR="007023EE">
        <w:rPr>
          <w:w w:val="105"/>
          <w:sz w:val="24"/>
          <w:szCs w:val="24"/>
        </w:rPr>
        <w:t>20</w:t>
      </w:r>
      <w:r w:rsidR="00785FDC">
        <w:rPr>
          <w:w w:val="105"/>
          <w:sz w:val="24"/>
          <w:szCs w:val="24"/>
        </w:rPr>
        <w:t xml:space="preserve">, </w:t>
      </w:r>
      <w:r w:rsidRPr="001B10C2">
        <w:rPr>
          <w:w w:val="105"/>
          <w:sz w:val="24"/>
          <w:szCs w:val="24"/>
        </w:rPr>
        <w:t xml:space="preserve">specifying </w:t>
      </w:r>
      <w:r w:rsidR="00B266B0" w:rsidRPr="001B10C2">
        <w:rPr>
          <w:w w:val="105"/>
          <w:sz w:val="24"/>
          <w:szCs w:val="24"/>
        </w:rPr>
        <w:t xml:space="preserve">the </w:t>
      </w:r>
      <w:r w:rsidRPr="001B10C2">
        <w:rPr>
          <w:w w:val="105"/>
          <w:sz w:val="24"/>
          <w:szCs w:val="24"/>
        </w:rPr>
        <w:t xml:space="preserve">implementation </w:t>
      </w:r>
      <w:r w:rsidR="009C4A4A" w:rsidRPr="001B10C2">
        <w:rPr>
          <w:w w:val="105"/>
          <w:sz w:val="24"/>
          <w:szCs w:val="24"/>
        </w:rPr>
        <w:t>of th</w:t>
      </w:r>
      <w:r w:rsidR="00B266B0" w:rsidRPr="001B10C2">
        <w:rPr>
          <w:w w:val="105"/>
          <w:sz w:val="24"/>
          <w:szCs w:val="24"/>
        </w:rPr>
        <w:t>at</w:t>
      </w:r>
      <w:r w:rsidR="009C4A4A" w:rsidRPr="001B10C2">
        <w:rPr>
          <w:w w:val="105"/>
          <w:sz w:val="24"/>
          <w:szCs w:val="24"/>
        </w:rPr>
        <w:t xml:space="preserve"> Strategy</w:t>
      </w:r>
      <w:r w:rsidR="003170F2" w:rsidRPr="001B10C2">
        <w:rPr>
          <w:w w:val="105"/>
          <w:sz w:val="24"/>
          <w:szCs w:val="24"/>
        </w:rPr>
        <w:t>.</w:t>
      </w:r>
      <w:r w:rsidR="00167B9B" w:rsidRPr="001B10C2">
        <w:rPr>
          <w:w w:val="105"/>
          <w:sz w:val="24"/>
          <w:szCs w:val="24"/>
        </w:rPr>
        <w:t xml:space="preserve">  </w:t>
      </w:r>
    </w:p>
    <w:p w:rsidR="00BA63B7" w:rsidRPr="001B10C2" w:rsidRDefault="00BA63B7" w:rsidP="007252DF">
      <w:pPr>
        <w:pStyle w:val="NoSpacing"/>
        <w:rPr>
          <w:w w:val="105"/>
          <w:sz w:val="24"/>
          <w:szCs w:val="24"/>
        </w:rPr>
      </w:pPr>
    </w:p>
    <w:p w:rsidR="00835BD5" w:rsidRPr="001B10C2" w:rsidRDefault="00344399" w:rsidP="00835BD5">
      <w:pPr>
        <w:spacing w:before="91"/>
        <w:jc w:val="both"/>
        <w:rPr>
          <w:b/>
          <w:w w:val="105"/>
          <w:sz w:val="24"/>
          <w:szCs w:val="24"/>
        </w:rPr>
      </w:pPr>
      <w:r w:rsidRPr="001B10C2">
        <w:rPr>
          <w:b/>
          <w:w w:val="105"/>
          <w:sz w:val="24"/>
          <w:szCs w:val="24"/>
        </w:rPr>
        <w:t>VI.</w:t>
      </w:r>
      <w:r w:rsidRPr="001B10C2">
        <w:rPr>
          <w:b/>
          <w:w w:val="105"/>
          <w:sz w:val="24"/>
          <w:szCs w:val="24"/>
        </w:rPr>
        <w:tab/>
        <w:t>EXPIRATION</w:t>
      </w:r>
    </w:p>
    <w:p w:rsidR="00BA63B7" w:rsidRPr="001B10C2" w:rsidRDefault="00BA63B7" w:rsidP="00350EC0">
      <w:pPr>
        <w:pStyle w:val="NoSpacing"/>
        <w:rPr>
          <w:sz w:val="24"/>
          <w:szCs w:val="24"/>
        </w:rPr>
      </w:pPr>
    </w:p>
    <w:p w:rsidR="00835BD5" w:rsidRPr="001B10C2" w:rsidRDefault="00855D2F" w:rsidP="00835BD5">
      <w:pPr>
        <w:spacing w:before="91"/>
        <w:jc w:val="both"/>
        <w:rPr>
          <w:w w:val="105"/>
          <w:sz w:val="24"/>
          <w:szCs w:val="24"/>
        </w:rPr>
      </w:pPr>
      <w:r w:rsidRPr="001B10C2">
        <w:rPr>
          <w:w w:val="105"/>
          <w:sz w:val="24"/>
          <w:szCs w:val="24"/>
        </w:rPr>
        <w:t>The C</w:t>
      </w:r>
      <w:r w:rsidR="00C46BEE" w:rsidRPr="001B10C2">
        <w:rPr>
          <w:w w:val="105"/>
          <w:sz w:val="24"/>
          <w:szCs w:val="24"/>
        </w:rPr>
        <w:t xml:space="preserve">ommittee shall expire on </w:t>
      </w:r>
      <w:r w:rsidR="00CB1419">
        <w:rPr>
          <w:w w:val="105"/>
          <w:sz w:val="24"/>
          <w:szCs w:val="24"/>
        </w:rPr>
        <w:t>D</w:t>
      </w:r>
      <w:r w:rsidR="00745B1D">
        <w:rPr>
          <w:w w:val="105"/>
          <w:sz w:val="24"/>
          <w:szCs w:val="24"/>
        </w:rPr>
        <w:t>ece</w:t>
      </w:r>
      <w:r w:rsidR="00916ED3">
        <w:rPr>
          <w:w w:val="105"/>
          <w:sz w:val="24"/>
          <w:szCs w:val="24"/>
        </w:rPr>
        <w:t>mber 3</w:t>
      </w:r>
      <w:r w:rsidR="004578BB">
        <w:rPr>
          <w:w w:val="105"/>
          <w:sz w:val="24"/>
          <w:szCs w:val="24"/>
        </w:rPr>
        <w:t>1</w:t>
      </w:r>
      <w:r w:rsidR="00916ED3">
        <w:rPr>
          <w:w w:val="105"/>
          <w:sz w:val="24"/>
          <w:szCs w:val="24"/>
        </w:rPr>
        <w:t>, 2020</w:t>
      </w:r>
      <w:r w:rsidR="00C46BEE" w:rsidRPr="001B10C2">
        <w:rPr>
          <w:w w:val="105"/>
          <w:sz w:val="24"/>
          <w:szCs w:val="24"/>
        </w:rPr>
        <w:t>.</w:t>
      </w:r>
    </w:p>
    <w:p w:rsidR="00835BD5" w:rsidRPr="001B10C2" w:rsidRDefault="00B7781C" w:rsidP="00835BD5">
      <w:pPr>
        <w:spacing w:before="91"/>
        <w:jc w:val="both"/>
        <w:rPr>
          <w:b/>
          <w:sz w:val="24"/>
          <w:szCs w:val="24"/>
        </w:rPr>
      </w:pPr>
      <w:r w:rsidRPr="001B10C2">
        <w:rPr>
          <w:b/>
          <w:sz w:val="24"/>
          <w:szCs w:val="24"/>
        </w:rPr>
        <w:t>V</w:t>
      </w:r>
      <w:r w:rsidR="00344399" w:rsidRPr="001B10C2">
        <w:rPr>
          <w:b/>
          <w:sz w:val="24"/>
          <w:szCs w:val="24"/>
        </w:rPr>
        <w:t>I</w:t>
      </w:r>
      <w:r w:rsidRPr="001B10C2">
        <w:rPr>
          <w:b/>
          <w:sz w:val="24"/>
          <w:szCs w:val="24"/>
        </w:rPr>
        <w:t>I.</w:t>
      </w:r>
      <w:r w:rsidRPr="001B10C2">
        <w:rPr>
          <w:b/>
          <w:sz w:val="24"/>
          <w:szCs w:val="24"/>
        </w:rPr>
        <w:tab/>
        <w:t>EFFECTIVE DATE</w:t>
      </w:r>
    </w:p>
    <w:p w:rsidR="00BA63B7" w:rsidRPr="001B10C2" w:rsidRDefault="00BA63B7" w:rsidP="00BA63B7">
      <w:pPr>
        <w:pStyle w:val="NoSpacing"/>
        <w:rPr>
          <w:sz w:val="24"/>
          <w:szCs w:val="24"/>
        </w:rPr>
      </w:pPr>
    </w:p>
    <w:p w:rsidR="00B7781C" w:rsidRPr="001B10C2" w:rsidRDefault="00B7781C" w:rsidP="00835BD5">
      <w:pPr>
        <w:spacing w:before="91"/>
        <w:jc w:val="both"/>
        <w:rPr>
          <w:b/>
          <w:w w:val="105"/>
          <w:sz w:val="24"/>
          <w:szCs w:val="24"/>
        </w:rPr>
      </w:pPr>
      <w:r w:rsidRPr="001B10C2">
        <w:rPr>
          <w:sz w:val="24"/>
          <w:szCs w:val="24"/>
        </w:rPr>
        <w:t xml:space="preserve">The effective date of this Order is </w:t>
      </w:r>
      <w:r w:rsidR="002B4ECA" w:rsidRPr="001B10C2">
        <w:rPr>
          <w:sz w:val="24"/>
          <w:szCs w:val="24"/>
        </w:rPr>
        <w:t>October</w:t>
      </w:r>
      <w:r w:rsidRPr="001B10C2">
        <w:rPr>
          <w:sz w:val="24"/>
          <w:szCs w:val="24"/>
        </w:rPr>
        <w:t xml:space="preserve"> </w:t>
      </w:r>
      <w:r w:rsidR="000F383C">
        <w:rPr>
          <w:sz w:val="24"/>
          <w:szCs w:val="24"/>
        </w:rPr>
        <w:t>24</w:t>
      </w:r>
      <w:r w:rsidRPr="001B10C2">
        <w:rPr>
          <w:sz w:val="24"/>
          <w:szCs w:val="24"/>
        </w:rPr>
        <w:t>, 2019.</w:t>
      </w:r>
    </w:p>
    <w:p w:rsidR="006D737F" w:rsidRPr="001B10C2" w:rsidRDefault="00B7781C" w:rsidP="001B10C2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1B10C2">
        <w:rPr>
          <w:rFonts w:ascii="Times New Roman" w:hAnsi="Times New Roman" w:cs="Times New Roman"/>
          <w:sz w:val="24"/>
          <w:szCs w:val="24"/>
        </w:rPr>
        <w:t xml:space="preserve"> </w:t>
      </w:r>
      <w:r w:rsidR="001B10C2" w:rsidRPr="001B10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FA77D3" wp14:editId="240C7640">
            <wp:extent cx="5943600" cy="69817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37F" w:rsidRPr="001B10C2" w:rsidSect="00F8362A">
      <w:headerReference w:type="default" r:id="rId12"/>
      <w:footerReference w:type="default" r:id="rId13"/>
      <w:pgSz w:w="12240" w:h="15840"/>
      <w:pgMar w:top="1440" w:right="1440" w:bottom="1440" w:left="1440" w:header="7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57E" w:rsidRDefault="0042157E">
      <w:r>
        <w:separator/>
      </w:r>
    </w:p>
  </w:endnote>
  <w:endnote w:type="continuationSeparator" w:id="0">
    <w:p w:rsidR="0042157E" w:rsidRDefault="0042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172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592" w:rsidRDefault="006A55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5592" w:rsidRDefault="006A5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57E" w:rsidRDefault="0042157E">
      <w:r>
        <w:separator/>
      </w:r>
    </w:p>
  </w:footnote>
  <w:footnote w:type="continuationSeparator" w:id="0">
    <w:p w:rsidR="0042157E" w:rsidRDefault="0042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37F" w:rsidRDefault="006D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8C1"/>
    <w:multiLevelType w:val="hybridMultilevel"/>
    <w:tmpl w:val="48C62CE6"/>
    <w:lvl w:ilvl="0" w:tplc="D2802792">
      <w:start w:val="1"/>
      <w:numFmt w:val="upperRoman"/>
      <w:lvlText w:val="%1."/>
      <w:lvlJc w:val="left"/>
      <w:pPr>
        <w:ind w:left="1080" w:hanging="720"/>
      </w:pPr>
      <w:rPr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EAC"/>
    <w:multiLevelType w:val="hybridMultilevel"/>
    <w:tmpl w:val="6688F902"/>
    <w:lvl w:ilvl="0" w:tplc="71F2CE30">
      <w:numFmt w:val="bullet"/>
      <w:lvlText w:val="-"/>
      <w:lvlJc w:val="left"/>
      <w:pPr>
        <w:ind w:left="439" w:hanging="124"/>
      </w:pPr>
      <w:rPr>
        <w:rFonts w:ascii="Times New Roman" w:eastAsia="Times New Roman" w:hAnsi="Times New Roman" w:cs="Times New Roman" w:hint="default"/>
        <w:i/>
        <w:w w:val="55"/>
        <w:sz w:val="27"/>
        <w:szCs w:val="27"/>
      </w:rPr>
    </w:lvl>
    <w:lvl w:ilvl="1" w:tplc="924601C2">
      <w:start w:val="1"/>
      <w:numFmt w:val="decimal"/>
      <w:lvlText w:val="%2."/>
      <w:lvlJc w:val="left"/>
      <w:pPr>
        <w:ind w:left="886" w:hanging="372"/>
      </w:pPr>
      <w:rPr>
        <w:rFonts w:hint="default"/>
        <w:spacing w:val="-1"/>
        <w:w w:val="109"/>
      </w:rPr>
    </w:lvl>
    <w:lvl w:ilvl="2" w:tplc="D05E3EB0">
      <w:numFmt w:val="bullet"/>
      <w:lvlText w:val="•"/>
      <w:lvlJc w:val="left"/>
      <w:pPr>
        <w:ind w:left="1851" w:hanging="372"/>
      </w:pPr>
      <w:rPr>
        <w:rFonts w:hint="default"/>
      </w:rPr>
    </w:lvl>
    <w:lvl w:ilvl="3" w:tplc="422C024C">
      <w:numFmt w:val="bullet"/>
      <w:lvlText w:val="•"/>
      <w:lvlJc w:val="left"/>
      <w:pPr>
        <w:ind w:left="2822" w:hanging="372"/>
      </w:pPr>
      <w:rPr>
        <w:rFonts w:hint="default"/>
      </w:rPr>
    </w:lvl>
    <w:lvl w:ilvl="4" w:tplc="8AF663CA">
      <w:numFmt w:val="bullet"/>
      <w:lvlText w:val="•"/>
      <w:lvlJc w:val="left"/>
      <w:pPr>
        <w:ind w:left="3793" w:hanging="372"/>
      </w:pPr>
      <w:rPr>
        <w:rFonts w:hint="default"/>
      </w:rPr>
    </w:lvl>
    <w:lvl w:ilvl="5" w:tplc="C57A94DC">
      <w:numFmt w:val="bullet"/>
      <w:lvlText w:val="•"/>
      <w:lvlJc w:val="left"/>
      <w:pPr>
        <w:ind w:left="4764" w:hanging="372"/>
      </w:pPr>
      <w:rPr>
        <w:rFonts w:hint="default"/>
      </w:rPr>
    </w:lvl>
    <w:lvl w:ilvl="6" w:tplc="2AA0B2A0">
      <w:numFmt w:val="bullet"/>
      <w:lvlText w:val="•"/>
      <w:lvlJc w:val="left"/>
      <w:pPr>
        <w:ind w:left="5735" w:hanging="372"/>
      </w:pPr>
      <w:rPr>
        <w:rFonts w:hint="default"/>
      </w:rPr>
    </w:lvl>
    <w:lvl w:ilvl="7" w:tplc="49B2B2A0">
      <w:numFmt w:val="bullet"/>
      <w:lvlText w:val="•"/>
      <w:lvlJc w:val="left"/>
      <w:pPr>
        <w:ind w:left="6706" w:hanging="372"/>
      </w:pPr>
      <w:rPr>
        <w:rFonts w:hint="default"/>
      </w:rPr>
    </w:lvl>
    <w:lvl w:ilvl="8" w:tplc="3E28FDF6">
      <w:numFmt w:val="bullet"/>
      <w:lvlText w:val="•"/>
      <w:lvlJc w:val="left"/>
      <w:pPr>
        <w:ind w:left="7677" w:hanging="372"/>
      </w:pPr>
      <w:rPr>
        <w:rFonts w:hint="default"/>
      </w:rPr>
    </w:lvl>
  </w:abstractNum>
  <w:abstractNum w:abstractNumId="2" w15:restartNumberingAfterBreak="0">
    <w:nsid w:val="125A4523"/>
    <w:multiLevelType w:val="hybridMultilevel"/>
    <w:tmpl w:val="02A25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4512B"/>
    <w:multiLevelType w:val="hybridMultilevel"/>
    <w:tmpl w:val="36D01ED4"/>
    <w:lvl w:ilvl="0" w:tplc="F2F2F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1D25"/>
    <w:multiLevelType w:val="hybridMultilevel"/>
    <w:tmpl w:val="B986D3B0"/>
    <w:lvl w:ilvl="0" w:tplc="EE0CF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07213"/>
    <w:multiLevelType w:val="hybridMultilevel"/>
    <w:tmpl w:val="C6DA4868"/>
    <w:lvl w:ilvl="0" w:tplc="4A4A91E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66BF2"/>
    <w:multiLevelType w:val="hybridMultilevel"/>
    <w:tmpl w:val="14682DF2"/>
    <w:lvl w:ilvl="0" w:tplc="C762A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D1FF0"/>
    <w:multiLevelType w:val="hybridMultilevel"/>
    <w:tmpl w:val="E8E65642"/>
    <w:lvl w:ilvl="0" w:tplc="90A0CF90">
      <w:start w:val="1"/>
      <w:numFmt w:val="decimal"/>
      <w:lvlText w:val="%1."/>
      <w:lvlJc w:val="left"/>
      <w:pPr>
        <w:ind w:left="935" w:hanging="363"/>
      </w:pPr>
      <w:rPr>
        <w:rFonts w:ascii="Times New Roman" w:eastAsia="Times New Roman" w:hAnsi="Times New Roman" w:cs="Times New Roman" w:hint="default"/>
        <w:w w:val="107"/>
        <w:sz w:val="24"/>
        <w:szCs w:val="24"/>
      </w:rPr>
    </w:lvl>
    <w:lvl w:ilvl="1" w:tplc="762A88B6">
      <w:numFmt w:val="bullet"/>
      <w:lvlText w:val="•"/>
      <w:lvlJc w:val="left"/>
      <w:pPr>
        <w:ind w:left="1808" w:hanging="363"/>
      </w:pPr>
      <w:rPr>
        <w:rFonts w:hint="default"/>
      </w:rPr>
    </w:lvl>
    <w:lvl w:ilvl="2" w:tplc="2D048150">
      <w:numFmt w:val="bullet"/>
      <w:lvlText w:val="•"/>
      <w:lvlJc w:val="left"/>
      <w:pPr>
        <w:ind w:left="2676" w:hanging="363"/>
      </w:pPr>
      <w:rPr>
        <w:rFonts w:hint="default"/>
      </w:rPr>
    </w:lvl>
    <w:lvl w:ilvl="3" w:tplc="4CE8D6B6">
      <w:numFmt w:val="bullet"/>
      <w:lvlText w:val="•"/>
      <w:lvlJc w:val="left"/>
      <w:pPr>
        <w:ind w:left="3544" w:hanging="363"/>
      </w:pPr>
      <w:rPr>
        <w:rFonts w:hint="default"/>
      </w:rPr>
    </w:lvl>
    <w:lvl w:ilvl="4" w:tplc="9E1C12F4">
      <w:numFmt w:val="bullet"/>
      <w:lvlText w:val="•"/>
      <w:lvlJc w:val="left"/>
      <w:pPr>
        <w:ind w:left="4412" w:hanging="363"/>
      </w:pPr>
      <w:rPr>
        <w:rFonts w:hint="default"/>
      </w:rPr>
    </w:lvl>
    <w:lvl w:ilvl="5" w:tplc="9CD8746E">
      <w:numFmt w:val="bullet"/>
      <w:lvlText w:val="•"/>
      <w:lvlJc w:val="left"/>
      <w:pPr>
        <w:ind w:left="5280" w:hanging="363"/>
      </w:pPr>
      <w:rPr>
        <w:rFonts w:hint="default"/>
      </w:rPr>
    </w:lvl>
    <w:lvl w:ilvl="6" w:tplc="2E5A79A8">
      <w:numFmt w:val="bullet"/>
      <w:lvlText w:val="•"/>
      <w:lvlJc w:val="left"/>
      <w:pPr>
        <w:ind w:left="6148" w:hanging="363"/>
      </w:pPr>
      <w:rPr>
        <w:rFonts w:hint="default"/>
      </w:rPr>
    </w:lvl>
    <w:lvl w:ilvl="7" w:tplc="AF3C368E">
      <w:numFmt w:val="bullet"/>
      <w:lvlText w:val="•"/>
      <w:lvlJc w:val="left"/>
      <w:pPr>
        <w:ind w:left="7016" w:hanging="363"/>
      </w:pPr>
      <w:rPr>
        <w:rFonts w:hint="default"/>
      </w:rPr>
    </w:lvl>
    <w:lvl w:ilvl="8" w:tplc="70667E56">
      <w:numFmt w:val="bullet"/>
      <w:lvlText w:val="•"/>
      <w:lvlJc w:val="left"/>
      <w:pPr>
        <w:ind w:left="7884" w:hanging="363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7F"/>
    <w:rsid w:val="0000630F"/>
    <w:rsid w:val="000063B2"/>
    <w:rsid w:val="00015B39"/>
    <w:rsid w:val="000572AC"/>
    <w:rsid w:val="00062697"/>
    <w:rsid w:val="00067955"/>
    <w:rsid w:val="000A779D"/>
    <w:rsid w:val="000E49AB"/>
    <w:rsid w:val="000F383C"/>
    <w:rsid w:val="00123A65"/>
    <w:rsid w:val="0015217A"/>
    <w:rsid w:val="001522B0"/>
    <w:rsid w:val="001573B0"/>
    <w:rsid w:val="00167B9B"/>
    <w:rsid w:val="00173816"/>
    <w:rsid w:val="0017568B"/>
    <w:rsid w:val="00185322"/>
    <w:rsid w:val="001B10C2"/>
    <w:rsid w:val="001D704C"/>
    <w:rsid w:val="001E6CBA"/>
    <w:rsid w:val="00205EEB"/>
    <w:rsid w:val="0022394C"/>
    <w:rsid w:val="00276139"/>
    <w:rsid w:val="00280959"/>
    <w:rsid w:val="002875C4"/>
    <w:rsid w:val="002A3A6E"/>
    <w:rsid w:val="002B4181"/>
    <w:rsid w:val="002B4ECA"/>
    <w:rsid w:val="002B5447"/>
    <w:rsid w:val="002D32C3"/>
    <w:rsid w:val="002D5503"/>
    <w:rsid w:val="0030460B"/>
    <w:rsid w:val="00307F38"/>
    <w:rsid w:val="003170F2"/>
    <w:rsid w:val="00344399"/>
    <w:rsid w:val="00350295"/>
    <w:rsid w:val="00350EC0"/>
    <w:rsid w:val="003558FB"/>
    <w:rsid w:val="0036693D"/>
    <w:rsid w:val="0037452C"/>
    <w:rsid w:val="00374D4B"/>
    <w:rsid w:val="00394B2F"/>
    <w:rsid w:val="003A3AFE"/>
    <w:rsid w:val="003C27C6"/>
    <w:rsid w:val="003D3FE9"/>
    <w:rsid w:val="003D46FE"/>
    <w:rsid w:val="003F68C2"/>
    <w:rsid w:val="0040193A"/>
    <w:rsid w:val="00402BD8"/>
    <w:rsid w:val="0042157E"/>
    <w:rsid w:val="00423358"/>
    <w:rsid w:val="00440B78"/>
    <w:rsid w:val="004578BB"/>
    <w:rsid w:val="00475258"/>
    <w:rsid w:val="00481ADA"/>
    <w:rsid w:val="00481EE6"/>
    <w:rsid w:val="00483570"/>
    <w:rsid w:val="0049531A"/>
    <w:rsid w:val="004A324D"/>
    <w:rsid w:val="004B274C"/>
    <w:rsid w:val="004B39EC"/>
    <w:rsid w:val="004E5BFA"/>
    <w:rsid w:val="004F0401"/>
    <w:rsid w:val="005065EB"/>
    <w:rsid w:val="00532D7C"/>
    <w:rsid w:val="00566AF4"/>
    <w:rsid w:val="0056765F"/>
    <w:rsid w:val="005A6135"/>
    <w:rsid w:val="005B03AF"/>
    <w:rsid w:val="005E6DE9"/>
    <w:rsid w:val="005F7A09"/>
    <w:rsid w:val="006041CB"/>
    <w:rsid w:val="00622F9A"/>
    <w:rsid w:val="00643EDF"/>
    <w:rsid w:val="00663110"/>
    <w:rsid w:val="00664494"/>
    <w:rsid w:val="00666409"/>
    <w:rsid w:val="00684AB6"/>
    <w:rsid w:val="00690CF4"/>
    <w:rsid w:val="006A5592"/>
    <w:rsid w:val="006D737F"/>
    <w:rsid w:val="007023EE"/>
    <w:rsid w:val="00710590"/>
    <w:rsid w:val="00713CE8"/>
    <w:rsid w:val="007159B9"/>
    <w:rsid w:val="007219CB"/>
    <w:rsid w:val="007252DF"/>
    <w:rsid w:val="00745B1D"/>
    <w:rsid w:val="00754C45"/>
    <w:rsid w:val="00785FDC"/>
    <w:rsid w:val="007A39AC"/>
    <w:rsid w:val="007E21CE"/>
    <w:rsid w:val="0080063A"/>
    <w:rsid w:val="0080654A"/>
    <w:rsid w:val="0083103F"/>
    <w:rsid w:val="008315E8"/>
    <w:rsid w:val="00832814"/>
    <w:rsid w:val="00835BD5"/>
    <w:rsid w:val="00840E91"/>
    <w:rsid w:val="008424BC"/>
    <w:rsid w:val="008448B8"/>
    <w:rsid w:val="00855D2F"/>
    <w:rsid w:val="008638D5"/>
    <w:rsid w:val="008721A9"/>
    <w:rsid w:val="00877E79"/>
    <w:rsid w:val="0088160F"/>
    <w:rsid w:val="00886654"/>
    <w:rsid w:val="008B4C61"/>
    <w:rsid w:val="008D6E33"/>
    <w:rsid w:val="008F5A91"/>
    <w:rsid w:val="00916ED3"/>
    <w:rsid w:val="0091731F"/>
    <w:rsid w:val="00931365"/>
    <w:rsid w:val="0094419D"/>
    <w:rsid w:val="00963509"/>
    <w:rsid w:val="009A390C"/>
    <w:rsid w:val="009A5BEA"/>
    <w:rsid w:val="009C4A4A"/>
    <w:rsid w:val="009E6483"/>
    <w:rsid w:val="009F01AE"/>
    <w:rsid w:val="009F7DC0"/>
    <w:rsid w:val="00A1012B"/>
    <w:rsid w:val="00A11CAB"/>
    <w:rsid w:val="00A27877"/>
    <w:rsid w:val="00A41641"/>
    <w:rsid w:val="00A507D6"/>
    <w:rsid w:val="00A57C60"/>
    <w:rsid w:val="00A6177F"/>
    <w:rsid w:val="00A87DF1"/>
    <w:rsid w:val="00A9230A"/>
    <w:rsid w:val="00A9482F"/>
    <w:rsid w:val="00A97106"/>
    <w:rsid w:val="00AA5ED7"/>
    <w:rsid w:val="00AB6FEE"/>
    <w:rsid w:val="00AC61F8"/>
    <w:rsid w:val="00AD5170"/>
    <w:rsid w:val="00AE4018"/>
    <w:rsid w:val="00AF7157"/>
    <w:rsid w:val="00B124F2"/>
    <w:rsid w:val="00B20F29"/>
    <w:rsid w:val="00B266B0"/>
    <w:rsid w:val="00B45A46"/>
    <w:rsid w:val="00B748FA"/>
    <w:rsid w:val="00B7781C"/>
    <w:rsid w:val="00B86C5D"/>
    <w:rsid w:val="00B92EC1"/>
    <w:rsid w:val="00BA2657"/>
    <w:rsid w:val="00BA63B7"/>
    <w:rsid w:val="00BB390C"/>
    <w:rsid w:val="00BC583D"/>
    <w:rsid w:val="00BD193B"/>
    <w:rsid w:val="00BD5309"/>
    <w:rsid w:val="00C011E8"/>
    <w:rsid w:val="00C10CAC"/>
    <w:rsid w:val="00C16E7C"/>
    <w:rsid w:val="00C17905"/>
    <w:rsid w:val="00C45FFF"/>
    <w:rsid w:val="00C46BEE"/>
    <w:rsid w:val="00C62F62"/>
    <w:rsid w:val="00CA6306"/>
    <w:rsid w:val="00CB1419"/>
    <w:rsid w:val="00CB67C5"/>
    <w:rsid w:val="00D00E59"/>
    <w:rsid w:val="00D31E39"/>
    <w:rsid w:val="00D31EF8"/>
    <w:rsid w:val="00D34B05"/>
    <w:rsid w:val="00D37802"/>
    <w:rsid w:val="00D40C66"/>
    <w:rsid w:val="00D72AE4"/>
    <w:rsid w:val="00D73E84"/>
    <w:rsid w:val="00D82F51"/>
    <w:rsid w:val="00D85764"/>
    <w:rsid w:val="00DB11A7"/>
    <w:rsid w:val="00DB2C3F"/>
    <w:rsid w:val="00DD6F20"/>
    <w:rsid w:val="00DE06F9"/>
    <w:rsid w:val="00E10442"/>
    <w:rsid w:val="00E21B5B"/>
    <w:rsid w:val="00E62987"/>
    <w:rsid w:val="00E73148"/>
    <w:rsid w:val="00E960AD"/>
    <w:rsid w:val="00EA33E4"/>
    <w:rsid w:val="00EA4D58"/>
    <w:rsid w:val="00EA77F0"/>
    <w:rsid w:val="00EB3B45"/>
    <w:rsid w:val="00ED6476"/>
    <w:rsid w:val="00EE2762"/>
    <w:rsid w:val="00EE51CE"/>
    <w:rsid w:val="00EF6D23"/>
    <w:rsid w:val="00F05AF0"/>
    <w:rsid w:val="00F446BC"/>
    <w:rsid w:val="00F501A1"/>
    <w:rsid w:val="00F50D07"/>
    <w:rsid w:val="00F7460D"/>
    <w:rsid w:val="00F74659"/>
    <w:rsid w:val="00F755A9"/>
    <w:rsid w:val="00F83276"/>
    <w:rsid w:val="00F8362A"/>
    <w:rsid w:val="00FB014A"/>
    <w:rsid w:val="00FE539D"/>
    <w:rsid w:val="00FF4135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10237"/>
  <w15:docId w15:val="{635A2CBF-6D9E-4AEE-A130-9C831FB0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6"/>
      <w:ind w:left="935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5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5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592"/>
    <w:rPr>
      <w:rFonts w:ascii="Times New Roman" w:eastAsia="Times New Roman" w:hAnsi="Times New Roman" w:cs="Times New Roman"/>
    </w:rPr>
  </w:style>
  <w:style w:type="paragraph" w:customStyle="1" w:styleId="BodyA">
    <w:name w:val="Body A"/>
    <w:rsid w:val="00FF690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styleId="NoSpacing">
    <w:name w:val="No Spacing"/>
    <w:uiPriority w:val="1"/>
    <w:qFormat/>
    <w:rsid w:val="0040193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6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2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F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F9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C80F099E7CF4AB2120A5BFE0AADFB" ma:contentTypeVersion="3" ma:contentTypeDescription="Create a new document." ma:contentTypeScope="" ma:versionID="7a05550b2ed691e49e1b294d99ca99c0">
  <xsd:schema xmlns:xsd="http://www.w3.org/2001/XMLSchema" xmlns:xs="http://www.w3.org/2001/XMLSchema" xmlns:p="http://schemas.microsoft.com/office/2006/metadata/properties" xmlns:ns3="fe04784a-9b21-460f-890f-7b2d3d70a0a7" targetNamespace="http://schemas.microsoft.com/office/2006/metadata/properties" ma:root="true" ma:fieldsID="5b2e55fbab013f167b57b6b8148068ef" ns3:_="">
    <xsd:import namespace="fe04784a-9b21-460f-890f-7b2d3d70a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784a-9b21-460f-890f-7b2d3d70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95A6-87FE-413B-9B13-CB17CF9EB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CEE94A-E983-4CE1-9F4B-86BD4008D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4784a-9b21-460f-890f-7b2d3d70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1BB71-210F-4670-820F-4831186B5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EE610-3064-4C92-BA28-C4811322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Langhauser, Derek</dc:creator>
  <cp:lastModifiedBy>Langhauser, Derek</cp:lastModifiedBy>
  <cp:revision>17</cp:revision>
  <cp:lastPrinted>2019-10-08T18:09:00Z</cp:lastPrinted>
  <dcterms:created xsi:type="dcterms:W3CDTF">2019-10-11T15:33:00Z</dcterms:created>
  <dcterms:modified xsi:type="dcterms:W3CDTF">2019-10-22T15:08:00Z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LastSaved">
    <vt:filetime>2018-12-28T00:00:00Z</vt:filetime>
  </property>
  <property fmtid="{D5CDD505-2E9C-101B-9397-08002B2CF9AE}" pid="4" name="ContentTypeId">
    <vt:lpwstr>0x010100395C80F099E7CF4AB2120A5BFE0AADFB</vt:lpwstr>
  </property>
</Properties>
</file>